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4C" w:rsidRPr="00377360" w:rsidRDefault="0098049C" w:rsidP="00F2304C">
      <w:pPr>
        <w:rPr>
          <w:rFonts w:cs="Arial"/>
        </w:rPr>
      </w:pPr>
      <w:r>
        <w:rPr>
          <w:rFonts w:cs="Arial"/>
          <w:noProof/>
          <w:color w:val="808080"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10883</wp:posOffset>
            </wp:positionH>
            <wp:positionV relativeFrom="paragraph">
              <wp:posOffset>-104864</wp:posOffset>
            </wp:positionV>
            <wp:extent cx="2062716" cy="1148317"/>
            <wp:effectExtent l="0" t="0" r="0" b="0"/>
            <wp:wrapNone/>
            <wp:docPr id="3" name="Obraz 3" descr="PPS_n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PS_now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6331" t="66324" r="34921" b="20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716" cy="1148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3EC6" w:rsidRPr="00377360" w:rsidRDefault="00513EC6" w:rsidP="00F2304C">
      <w:pPr>
        <w:rPr>
          <w:rFonts w:cs="Arial"/>
          <w:color w:val="808080"/>
        </w:rPr>
      </w:pPr>
    </w:p>
    <w:p w:rsidR="00513EC6" w:rsidRPr="00377360" w:rsidRDefault="00513EC6" w:rsidP="00513EC6">
      <w:pPr>
        <w:rPr>
          <w:rFonts w:cs="Arial"/>
        </w:rPr>
      </w:pPr>
    </w:p>
    <w:p w:rsidR="00FB50F5" w:rsidRPr="00377360" w:rsidRDefault="00FB50F5" w:rsidP="00283277">
      <w:pPr>
        <w:tabs>
          <w:tab w:val="left" w:pos="1830"/>
        </w:tabs>
        <w:jc w:val="right"/>
        <w:rPr>
          <w:rFonts w:cs="Arial"/>
          <w:color w:val="808080"/>
        </w:rPr>
      </w:pPr>
    </w:p>
    <w:p w:rsidR="00E733DB" w:rsidRDefault="00616F68" w:rsidP="003B4F18">
      <w:pPr>
        <w:tabs>
          <w:tab w:val="left" w:pos="1830"/>
        </w:tabs>
        <w:jc w:val="right"/>
        <w:rPr>
          <w:rFonts w:cs="Arial"/>
          <w:color w:val="808080"/>
          <w:sz w:val="20"/>
        </w:rPr>
      </w:pPr>
      <w:r w:rsidRPr="00377360">
        <w:rPr>
          <w:rFonts w:cs="Arial"/>
          <w:color w:val="808080"/>
          <w:sz w:val="20"/>
        </w:rPr>
        <w:tab/>
      </w:r>
      <w:r w:rsidR="00377360" w:rsidRPr="00377360">
        <w:rPr>
          <w:rFonts w:cs="Arial"/>
          <w:color w:val="808080"/>
          <w:sz w:val="20"/>
        </w:rPr>
        <w:t xml:space="preserve">                         </w:t>
      </w:r>
      <w:r w:rsidR="00DF5804">
        <w:rPr>
          <w:rFonts w:cs="Arial"/>
          <w:color w:val="808080"/>
          <w:sz w:val="20"/>
        </w:rPr>
        <w:tab/>
      </w:r>
      <w:r w:rsidR="00DF5804">
        <w:rPr>
          <w:rFonts w:cs="Arial"/>
          <w:color w:val="808080"/>
          <w:sz w:val="20"/>
        </w:rPr>
        <w:tab/>
      </w:r>
      <w:r w:rsidR="00377360" w:rsidRPr="00377360">
        <w:rPr>
          <w:rFonts w:cs="Arial"/>
          <w:color w:val="808080"/>
          <w:sz w:val="20"/>
        </w:rPr>
        <w:tab/>
      </w:r>
      <w:r w:rsidR="00377360" w:rsidRPr="00377360">
        <w:rPr>
          <w:rFonts w:cs="Arial"/>
          <w:color w:val="808080"/>
          <w:sz w:val="20"/>
        </w:rPr>
        <w:tab/>
      </w:r>
      <w:r w:rsidR="008A20AB">
        <w:rPr>
          <w:rFonts w:cs="Arial"/>
          <w:color w:val="808080"/>
          <w:sz w:val="20"/>
        </w:rPr>
        <w:t xml:space="preserve">                   </w:t>
      </w:r>
    </w:p>
    <w:p w:rsidR="00D7760C" w:rsidRDefault="00BD4AB9" w:rsidP="003B4F18">
      <w:pPr>
        <w:tabs>
          <w:tab w:val="left" w:pos="1830"/>
        </w:tabs>
        <w:jc w:val="right"/>
        <w:rPr>
          <w:rFonts w:cs="Arial"/>
          <w:color w:val="808080"/>
          <w:sz w:val="20"/>
        </w:rPr>
      </w:pPr>
      <w:r>
        <w:rPr>
          <w:rFonts w:cs="Arial"/>
          <w:color w:val="808080"/>
          <w:sz w:val="20"/>
        </w:rPr>
        <w:t xml:space="preserve">Warszawa, </w:t>
      </w:r>
      <w:r w:rsidR="000D42DE">
        <w:rPr>
          <w:rFonts w:cs="Arial"/>
          <w:color w:val="808080"/>
          <w:sz w:val="20"/>
        </w:rPr>
        <w:t>8 września</w:t>
      </w:r>
      <w:r w:rsidR="00770EBB">
        <w:rPr>
          <w:rFonts w:cs="Arial"/>
          <w:color w:val="808080"/>
          <w:sz w:val="20"/>
        </w:rPr>
        <w:t xml:space="preserve"> </w:t>
      </w:r>
      <w:r w:rsidR="006116A2" w:rsidRPr="00377360">
        <w:rPr>
          <w:rFonts w:cs="Arial"/>
          <w:color w:val="808080"/>
          <w:sz w:val="20"/>
        </w:rPr>
        <w:t>201</w:t>
      </w:r>
      <w:r w:rsidR="00767528">
        <w:rPr>
          <w:rFonts w:cs="Arial"/>
          <w:color w:val="808080"/>
          <w:sz w:val="20"/>
        </w:rPr>
        <w:t>4</w:t>
      </w:r>
      <w:r w:rsidR="006116A2" w:rsidRPr="00377360">
        <w:rPr>
          <w:rFonts w:cs="Arial"/>
          <w:color w:val="808080"/>
          <w:sz w:val="20"/>
        </w:rPr>
        <w:t xml:space="preserve"> r.</w:t>
      </w:r>
    </w:p>
    <w:p w:rsidR="00E733DB" w:rsidRDefault="00E733DB" w:rsidP="00E733DB">
      <w:pPr>
        <w:tabs>
          <w:tab w:val="left" w:pos="1830"/>
        </w:tabs>
        <w:rPr>
          <w:rFonts w:cs="Arial"/>
          <w:color w:val="808080"/>
          <w:sz w:val="20"/>
        </w:rPr>
      </w:pPr>
    </w:p>
    <w:p w:rsidR="00E733DB" w:rsidRPr="00377360" w:rsidRDefault="00E733DB" w:rsidP="00E733DB">
      <w:pPr>
        <w:tabs>
          <w:tab w:val="left" w:pos="1830"/>
        </w:tabs>
        <w:rPr>
          <w:rFonts w:cs="Arial"/>
          <w:color w:val="808080"/>
          <w:sz w:val="20"/>
        </w:rPr>
      </w:pPr>
      <w:r>
        <w:rPr>
          <w:rFonts w:cs="Arial"/>
          <w:color w:val="808080"/>
          <w:sz w:val="20"/>
        </w:rPr>
        <w:t>INFORMACJA PRASOWA</w:t>
      </w:r>
    </w:p>
    <w:p w:rsidR="00706458" w:rsidRDefault="00706458" w:rsidP="00532D51">
      <w:pPr>
        <w:jc w:val="center"/>
        <w:rPr>
          <w:rFonts w:cs="Arial"/>
          <w:b/>
          <w:color w:val="FF0000"/>
          <w:szCs w:val="24"/>
        </w:rPr>
      </w:pPr>
    </w:p>
    <w:p w:rsidR="001D733F" w:rsidRPr="005723FD" w:rsidRDefault="00B72AFF" w:rsidP="00AC3CDB">
      <w:pPr>
        <w:jc w:val="center"/>
        <w:rPr>
          <w:rFonts w:cs="Arial"/>
          <w:b/>
          <w:sz w:val="22"/>
          <w:szCs w:val="24"/>
        </w:rPr>
      </w:pPr>
      <w:r w:rsidRPr="005723FD">
        <w:rPr>
          <w:rFonts w:cs="Arial"/>
          <w:b/>
          <w:sz w:val="22"/>
          <w:szCs w:val="24"/>
        </w:rPr>
        <w:t>Ameryka Środkowa otwiera się na polskie wódki</w:t>
      </w:r>
    </w:p>
    <w:p w:rsidR="00AC3CDB" w:rsidRPr="005723FD" w:rsidRDefault="00AC3CDB" w:rsidP="00AC3CDB">
      <w:pPr>
        <w:jc w:val="center"/>
        <w:rPr>
          <w:rFonts w:cs="Arial"/>
          <w:b/>
          <w:sz w:val="22"/>
          <w:szCs w:val="24"/>
        </w:rPr>
      </w:pPr>
    </w:p>
    <w:p w:rsidR="00A12D88" w:rsidRPr="005723FD" w:rsidRDefault="00B72AFF" w:rsidP="007E6DCD">
      <w:pPr>
        <w:jc w:val="both"/>
        <w:rPr>
          <w:rFonts w:cs="Arial"/>
          <w:b/>
          <w:color w:val="000000"/>
          <w:sz w:val="20"/>
          <w:szCs w:val="22"/>
        </w:rPr>
      </w:pPr>
      <w:r w:rsidRPr="005723FD">
        <w:rPr>
          <w:rFonts w:cs="Arial"/>
          <w:b/>
          <w:color w:val="000000"/>
          <w:sz w:val="20"/>
          <w:szCs w:val="22"/>
        </w:rPr>
        <w:t>Salwador, Honduras i Kostaryka</w:t>
      </w:r>
      <w:r w:rsidR="00A45691" w:rsidRPr="005723FD">
        <w:rPr>
          <w:rFonts w:cs="Arial"/>
          <w:b/>
          <w:color w:val="000000"/>
          <w:sz w:val="20"/>
          <w:szCs w:val="22"/>
        </w:rPr>
        <w:t xml:space="preserve"> potwierdziły rejestrację dwóch polskich oznaczeń geograficznych napojów spirytusowych: </w:t>
      </w:r>
      <w:r w:rsidR="00A45691" w:rsidRPr="005723FD">
        <w:rPr>
          <w:rFonts w:cs="Arial"/>
          <w:b/>
          <w:i/>
          <w:color w:val="000000"/>
          <w:sz w:val="20"/>
          <w:szCs w:val="22"/>
        </w:rPr>
        <w:t>Polska Wódka</w:t>
      </w:r>
      <w:r w:rsidR="00A45691" w:rsidRPr="005723FD">
        <w:rPr>
          <w:rFonts w:cs="Arial"/>
          <w:b/>
          <w:color w:val="000000"/>
          <w:sz w:val="20"/>
          <w:szCs w:val="22"/>
        </w:rPr>
        <w:t xml:space="preserve"> i </w:t>
      </w:r>
      <w:r w:rsidR="00A45691" w:rsidRPr="005723FD">
        <w:rPr>
          <w:rFonts w:cs="Arial"/>
          <w:b/>
          <w:i/>
          <w:color w:val="000000"/>
          <w:sz w:val="20"/>
          <w:szCs w:val="22"/>
        </w:rPr>
        <w:t>Wódka ziołowa z Niziny Podlaskiej aromatyzowana ekstraktem trawy żubrowej</w:t>
      </w:r>
      <w:r w:rsidR="00A45691" w:rsidRPr="005723FD">
        <w:rPr>
          <w:rFonts w:cs="Arial"/>
          <w:b/>
          <w:color w:val="000000"/>
          <w:sz w:val="20"/>
          <w:szCs w:val="22"/>
        </w:rPr>
        <w:t>. To</w:t>
      </w:r>
      <w:r w:rsidR="0032671A" w:rsidRPr="005723FD">
        <w:rPr>
          <w:rFonts w:cs="Arial"/>
          <w:b/>
          <w:color w:val="000000"/>
          <w:sz w:val="20"/>
          <w:szCs w:val="22"/>
        </w:rPr>
        <w:t xml:space="preserve"> </w:t>
      </w:r>
      <w:r w:rsidR="00AC3CDB" w:rsidRPr="005723FD">
        <w:rPr>
          <w:rFonts w:cs="Arial"/>
          <w:b/>
          <w:color w:val="000000"/>
          <w:sz w:val="20"/>
          <w:szCs w:val="22"/>
        </w:rPr>
        <w:t>ważny krok, który może pomóc zw</w:t>
      </w:r>
      <w:r w:rsidR="00B73872" w:rsidRPr="005723FD">
        <w:rPr>
          <w:rFonts w:cs="Arial"/>
          <w:b/>
          <w:color w:val="000000"/>
          <w:sz w:val="20"/>
          <w:szCs w:val="22"/>
        </w:rPr>
        <w:t xml:space="preserve">iększyć obecność </w:t>
      </w:r>
      <w:r w:rsidR="00A12D88" w:rsidRPr="005723FD">
        <w:rPr>
          <w:rFonts w:cs="Arial"/>
          <w:b/>
          <w:color w:val="000000"/>
          <w:sz w:val="20"/>
          <w:szCs w:val="22"/>
        </w:rPr>
        <w:t>naszego narodowego produktu</w:t>
      </w:r>
      <w:r w:rsidR="00B73872" w:rsidRPr="005723FD">
        <w:rPr>
          <w:rFonts w:cs="Arial"/>
          <w:b/>
          <w:color w:val="000000"/>
          <w:sz w:val="20"/>
          <w:szCs w:val="22"/>
        </w:rPr>
        <w:t xml:space="preserve"> </w:t>
      </w:r>
      <w:r w:rsidR="00A12D88" w:rsidRPr="005723FD">
        <w:rPr>
          <w:rFonts w:cs="Arial"/>
          <w:b/>
          <w:color w:val="000000"/>
          <w:sz w:val="20"/>
          <w:szCs w:val="22"/>
        </w:rPr>
        <w:t>w tym regionie</w:t>
      </w:r>
      <w:r w:rsidR="00AC3CDB" w:rsidRPr="005723FD">
        <w:rPr>
          <w:rFonts w:cs="Arial"/>
          <w:b/>
          <w:color w:val="000000"/>
          <w:sz w:val="20"/>
          <w:szCs w:val="22"/>
        </w:rPr>
        <w:t>. Przedsiębiorcy podkreślają</w:t>
      </w:r>
      <w:r w:rsidR="00B73872" w:rsidRPr="005723FD">
        <w:rPr>
          <w:rFonts w:cs="Arial"/>
          <w:b/>
          <w:color w:val="000000"/>
          <w:sz w:val="20"/>
          <w:szCs w:val="22"/>
        </w:rPr>
        <w:t xml:space="preserve"> jednak</w:t>
      </w:r>
      <w:r w:rsidR="00AC3CDB" w:rsidRPr="005723FD">
        <w:rPr>
          <w:rFonts w:cs="Arial"/>
          <w:b/>
          <w:color w:val="000000"/>
          <w:sz w:val="20"/>
          <w:szCs w:val="22"/>
        </w:rPr>
        <w:t>,</w:t>
      </w:r>
      <w:r w:rsidR="00A12D88" w:rsidRPr="005723FD">
        <w:rPr>
          <w:rFonts w:cs="Arial"/>
          <w:b/>
          <w:color w:val="000000"/>
          <w:sz w:val="20"/>
          <w:szCs w:val="22"/>
        </w:rPr>
        <w:t xml:space="preserve"> że aby polskie wódki zaistniały na odległych rynkach oprócz formalnych regulacji </w:t>
      </w:r>
      <w:r w:rsidR="00AC3CDB" w:rsidRPr="005723FD">
        <w:rPr>
          <w:rFonts w:cs="Arial"/>
          <w:b/>
          <w:color w:val="000000"/>
          <w:sz w:val="20"/>
          <w:szCs w:val="22"/>
        </w:rPr>
        <w:t xml:space="preserve">potrzebne jest </w:t>
      </w:r>
      <w:r w:rsidR="00A12D88" w:rsidRPr="005723FD">
        <w:rPr>
          <w:rFonts w:cs="Arial"/>
          <w:b/>
          <w:color w:val="000000"/>
          <w:sz w:val="20"/>
          <w:szCs w:val="22"/>
        </w:rPr>
        <w:t xml:space="preserve">długofalowe </w:t>
      </w:r>
      <w:r w:rsidR="00AC3CDB" w:rsidRPr="005723FD">
        <w:rPr>
          <w:rFonts w:cs="Arial"/>
          <w:b/>
          <w:color w:val="000000"/>
          <w:sz w:val="20"/>
          <w:szCs w:val="22"/>
        </w:rPr>
        <w:t xml:space="preserve">wsparcie </w:t>
      </w:r>
      <w:proofErr w:type="spellStart"/>
      <w:r w:rsidR="00AC3CDB" w:rsidRPr="005723FD">
        <w:rPr>
          <w:rFonts w:cs="Arial"/>
          <w:b/>
          <w:color w:val="000000"/>
          <w:sz w:val="20"/>
          <w:szCs w:val="22"/>
        </w:rPr>
        <w:t>polskiej</w:t>
      </w:r>
      <w:proofErr w:type="spellEnd"/>
      <w:r w:rsidR="00AC3CDB" w:rsidRPr="005723FD">
        <w:rPr>
          <w:rFonts w:cs="Arial"/>
          <w:b/>
          <w:color w:val="000000"/>
          <w:sz w:val="20"/>
          <w:szCs w:val="22"/>
        </w:rPr>
        <w:t xml:space="preserve"> administracji </w:t>
      </w:r>
      <w:r w:rsidR="005723FD">
        <w:rPr>
          <w:rFonts w:cs="Arial"/>
          <w:b/>
          <w:color w:val="000000"/>
          <w:sz w:val="20"/>
          <w:szCs w:val="22"/>
        </w:rPr>
        <w:br/>
      </w:r>
      <w:r w:rsidR="00AC3CDB" w:rsidRPr="005723FD">
        <w:rPr>
          <w:rFonts w:cs="Arial"/>
          <w:b/>
          <w:color w:val="000000"/>
          <w:sz w:val="20"/>
          <w:szCs w:val="22"/>
        </w:rPr>
        <w:t xml:space="preserve">i dyplomacji. </w:t>
      </w:r>
    </w:p>
    <w:p w:rsidR="00A12D88" w:rsidRDefault="00A12D88" w:rsidP="007E6DCD">
      <w:pPr>
        <w:jc w:val="both"/>
        <w:rPr>
          <w:rFonts w:cs="Arial"/>
          <w:b/>
          <w:color w:val="000000"/>
          <w:sz w:val="22"/>
          <w:szCs w:val="22"/>
        </w:rPr>
      </w:pPr>
    </w:p>
    <w:p w:rsidR="00555237" w:rsidRPr="000D42DE" w:rsidRDefault="001B26EA" w:rsidP="007E6DCD">
      <w:pPr>
        <w:jc w:val="both"/>
        <w:rPr>
          <w:rFonts w:cs="Arial"/>
          <w:color w:val="000000"/>
          <w:sz w:val="20"/>
          <w:szCs w:val="22"/>
        </w:rPr>
      </w:pPr>
      <w:r w:rsidRPr="000D42DE">
        <w:rPr>
          <w:rFonts w:cs="Arial"/>
          <w:color w:val="000000"/>
          <w:sz w:val="20"/>
          <w:szCs w:val="22"/>
        </w:rPr>
        <w:t xml:space="preserve">- </w:t>
      </w:r>
      <w:r w:rsidRPr="000D42DE">
        <w:rPr>
          <w:rFonts w:cs="Arial"/>
          <w:i/>
          <w:color w:val="000000"/>
          <w:sz w:val="20"/>
          <w:szCs w:val="22"/>
        </w:rPr>
        <w:t>Polska jest największym producentem wódki</w:t>
      </w:r>
      <w:r w:rsidRPr="000D42DE">
        <w:rPr>
          <w:rFonts w:cs="Arial"/>
          <w:color w:val="000000"/>
          <w:sz w:val="20"/>
          <w:szCs w:val="22"/>
        </w:rPr>
        <w:t xml:space="preserve"> </w:t>
      </w:r>
      <w:r w:rsidRPr="000D42DE">
        <w:rPr>
          <w:rFonts w:cs="Arial"/>
          <w:i/>
          <w:color w:val="000000"/>
          <w:sz w:val="20"/>
          <w:szCs w:val="22"/>
        </w:rPr>
        <w:t xml:space="preserve">w Unii Europejskiej. Mamy wysokiej jakości produkt kojarzony </w:t>
      </w:r>
      <w:r w:rsidR="00E120CF">
        <w:rPr>
          <w:rFonts w:cs="Arial"/>
          <w:i/>
          <w:color w:val="000000"/>
          <w:sz w:val="20"/>
          <w:szCs w:val="22"/>
        </w:rPr>
        <w:br/>
      </w:r>
      <w:r w:rsidRPr="000D42DE">
        <w:rPr>
          <w:rFonts w:cs="Arial"/>
          <w:i/>
          <w:color w:val="000000"/>
          <w:sz w:val="20"/>
          <w:szCs w:val="22"/>
        </w:rPr>
        <w:t>z naszym krajem i wielowiekową tradycję wytwarzania. Wciąż jednak za mało eksportujemy</w:t>
      </w:r>
      <w:r w:rsidR="005542B0" w:rsidRPr="000D42DE">
        <w:rPr>
          <w:rFonts w:cs="Arial"/>
          <w:i/>
          <w:color w:val="000000"/>
          <w:sz w:val="20"/>
          <w:szCs w:val="22"/>
        </w:rPr>
        <w:t xml:space="preserve"> i za mało na alkoholu zarabiamy</w:t>
      </w:r>
      <w:r w:rsidRPr="000D42DE">
        <w:rPr>
          <w:rFonts w:cs="Arial"/>
          <w:i/>
          <w:color w:val="000000"/>
          <w:sz w:val="20"/>
          <w:szCs w:val="22"/>
        </w:rPr>
        <w:t xml:space="preserve">. </w:t>
      </w:r>
      <w:r w:rsidR="00B73872" w:rsidRPr="000D42DE">
        <w:rPr>
          <w:rFonts w:cs="Arial"/>
          <w:i/>
          <w:color w:val="000000"/>
          <w:sz w:val="20"/>
          <w:szCs w:val="22"/>
        </w:rPr>
        <w:t xml:space="preserve">Przykład szkockiej whisky, która jest </w:t>
      </w:r>
      <w:r w:rsidRPr="000D42DE">
        <w:rPr>
          <w:rFonts w:cs="Arial"/>
          <w:i/>
          <w:color w:val="000000"/>
          <w:sz w:val="20"/>
          <w:szCs w:val="22"/>
        </w:rPr>
        <w:t xml:space="preserve">dziś </w:t>
      </w:r>
      <w:r w:rsidR="005542B0" w:rsidRPr="000D42DE">
        <w:rPr>
          <w:rFonts w:cs="Arial"/>
          <w:i/>
          <w:color w:val="000000"/>
          <w:sz w:val="20"/>
          <w:szCs w:val="22"/>
        </w:rPr>
        <w:t xml:space="preserve">obecna na 200 rynkach, a wartość jej eksportu przekracza 20 mld zł rocznie </w:t>
      </w:r>
      <w:r w:rsidR="00B73872" w:rsidRPr="000D42DE">
        <w:rPr>
          <w:rFonts w:cs="Arial"/>
          <w:i/>
          <w:color w:val="000000"/>
          <w:sz w:val="20"/>
          <w:szCs w:val="22"/>
        </w:rPr>
        <w:t xml:space="preserve">pokazuje, że </w:t>
      </w:r>
      <w:r w:rsidRPr="000D42DE">
        <w:rPr>
          <w:rFonts w:cs="Arial"/>
          <w:i/>
          <w:color w:val="000000"/>
          <w:sz w:val="20"/>
          <w:szCs w:val="22"/>
        </w:rPr>
        <w:t xml:space="preserve">przy współpracy </w:t>
      </w:r>
      <w:proofErr w:type="spellStart"/>
      <w:r w:rsidRPr="000D42DE">
        <w:rPr>
          <w:rFonts w:cs="Arial"/>
          <w:i/>
          <w:color w:val="000000"/>
          <w:sz w:val="20"/>
          <w:szCs w:val="22"/>
        </w:rPr>
        <w:t>biznesu</w:t>
      </w:r>
      <w:proofErr w:type="spellEnd"/>
      <w:r w:rsidRPr="000D42DE">
        <w:rPr>
          <w:rFonts w:cs="Arial"/>
          <w:i/>
          <w:color w:val="000000"/>
          <w:sz w:val="20"/>
          <w:szCs w:val="22"/>
        </w:rPr>
        <w:t xml:space="preserve"> i administracji </w:t>
      </w:r>
      <w:r w:rsidR="00467F6C" w:rsidRPr="000D42DE">
        <w:rPr>
          <w:rFonts w:cs="Arial"/>
          <w:i/>
          <w:color w:val="000000"/>
          <w:sz w:val="20"/>
          <w:szCs w:val="22"/>
        </w:rPr>
        <w:t>także dzięki napojom alkoholowym</w:t>
      </w:r>
      <w:r w:rsidR="00A12D88" w:rsidRPr="000D42DE">
        <w:rPr>
          <w:rFonts w:cs="Arial"/>
          <w:i/>
          <w:color w:val="000000"/>
          <w:sz w:val="20"/>
          <w:szCs w:val="22"/>
        </w:rPr>
        <w:t xml:space="preserve"> mo</w:t>
      </w:r>
      <w:r w:rsidR="005542B0" w:rsidRPr="000D42DE">
        <w:rPr>
          <w:rFonts w:cs="Arial"/>
          <w:i/>
          <w:color w:val="000000"/>
          <w:sz w:val="20"/>
          <w:szCs w:val="22"/>
        </w:rPr>
        <w:t>żna rozwijać</w:t>
      </w:r>
      <w:r w:rsidR="00B73872" w:rsidRPr="000D42DE">
        <w:rPr>
          <w:rFonts w:cs="Arial"/>
          <w:i/>
          <w:color w:val="000000"/>
          <w:sz w:val="20"/>
          <w:szCs w:val="22"/>
        </w:rPr>
        <w:t xml:space="preserve"> </w:t>
      </w:r>
      <w:r w:rsidR="005542B0" w:rsidRPr="000D42DE">
        <w:rPr>
          <w:rFonts w:cs="Arial"/>
          <w:i/>
          <w:color w:val="000000"/>
          <w:sz w:val="20"/>
          <w:szCs w:val="22"/>
        </w:rPr>
        <w:t xml:space="preserve">gospodarkę </w:t>
      </w:r>
      <w:r w:rsidR="00B73872" w:rsidRPr="000D42DE">
        <w:rPr>
          <w:rFonts w:cs="Arial"/>
          <w:i/>
          <w:color w:val="000000"/>
          <w:sz w:val="20"/>
          <w:szCs w:val="22"/>
        </w:rPr>
        <w:t xml:space="preserve">i </w:t>
      </w:r>
      <w:r w:rsidRPr="000D42DE">
        <w:rPr>
          <w:rFonts w:cs="Arial"/>
          <w:i/>
          <w:color w:val="000000"/>
          <w:sz w:val="20"/>
          <w:szCs w:val="22"/>
        </w:rPr>
        <w:t>budo</w:t>
      </w:r>
      <w:r w:rsidR="0032671A" w:rsidRPr="000D42DE">
        <w:rPr>
          <w:rFonts w:cs="Arial"/>
          <w:i/>
          <w:color w:val="000000"/>
          <w:sz w:val="20"/>
          <w:szCs w:val="22"/>
        </w:rPr>
        <w:t>wać pozytywny wizer</w:t>
      </w:r>
      <w:r w:rsidR="00B73872" w:rsidRPr="000D42DE">
        <w:rPr>
          <w:rFonts w:cs="Arial"/>
          <w:i/>
          <w:color w:val="000000"/>
          <w:sz w:val="20"/>
          <w:szCs w:val="22"/>
        </w:rPr>
        <w:t>unek kraju</w:t>
      </w:r>
      <w:r w:rsidRPr="000D42DE">
        <w:rPr>
          <w:rFonts w:cs="Arial"/>
          <w:i/>
          <w:color w:val="000000"/>
          <w:sz w:val="20"/>
          <w:szCs w:val="22"/>
        </w:rPr>
        <w:t xml:space="preserve"> </w:t>
      </w:r>
      <w:r w:rsidRPr="000D42DE">
        <w:rPr>
          <w:rFonts w:cs="Arial"/>
          <w:color w:val="000000"/>
          <w:sz w:val="20"/>
          <w:szCs w:val="22"/>
        </w:rPr>
        <w:t xml:space="preserve">– mówi </w:t>
      </w:r>
      <w:r w:rsidRPr="000D42DE">
        <w:rPr>
          <w:rFonts w:cs="Arial"/>
          <w:b/>
          <w:color w:val="000000"/>
          <w:sz w:val="20"/>
          <w:szCs w:val="22"/>
        </w:rPr>
        <w:t>Leszek Wiwała, Prezes Związku Pracodawców Polski Przemysł Spirytusowy</w:t>
      </w:r>
      <w:r w:rsidRPr="000D42DE">
        <w:rPr>
          <w:rFonts w:cs="Arial"/>
          <w:color w:val="000000"/>
          <w:sz w:val="20"/>
          <w:szCs w:val="22"/>
        </w:rPr>
        <w:t xml:space="preserve">. </w:t>
      </w:r>
      <w:r w:rsidRPr="000D42DE">
        <w:rPr>
          <w:rFonts w:cs="Arial"/>
          <w:i/>
          <w:color w:val="000000"/>
          <w:sz w:val="20"/>
          <w:szCs w:val="22"/>
        </w:rPr>
        <w:t>Rejestracja oznaczenia geograficznego</w:t>
      </w:r>
      <w:r w:rsidR="00D1438E" w:rsidRPr="000D42DE">
        <w:rPr>
          <w:rFonts w:cs="Arial"/>
          <w:i/>
          <w:color w:val="000000"/>
          <w:sz w:val="20"/>
          <w:szCs w:val="22"/>
        </w:rPr>
        <w:t xml:space="preserve"> </w:t>
      </w:r>
      <w:r w:rsidR="00E120CF">
        <w:rPr>
          <w:rFonts w:cs="Arial"/>
          <w:i/>
          <w:color w:val="000000"/>
          <w:sz w:val="20"/>
          <w:szCs w:val="22"/>
        </w:rPr>
        <w:br/>
      </w:r>
      <w:r w:rsidR="00D1438E" w:rsidRPr="000D42DE">
        <w:rPr>
          <w:rFonts w:cs="Arial"/>
          <w:i/>
          <w:color w:val="000000"/>
          <w:sz w:val="20"/>
          <w:szCs w:val="22"/>
        </w:rPr>
        <w:t>to szansa na budowanie przewagi konkurencyjnej i ochrony rodzimych producentów, potrzebne są jednak dalsze kroki</w:t>
      </w:r>
      <w:r w:rsidR="005542B0" w:rsidRPr="000D42DE">
        <w:rPr>
          <w:rFonts w:cs="Arial"/>
          <w:i/>
          <w:color w:val="000000"/>
          <w:sz w:val="20"/>
          <w:szCs w:val="22"/>
        </w:rPr>
        <w:t xml:space="preserve"> </w:t>
      </w:r>
      <w:r w:rsidR="005542B0" w:rsidRPr="000D42DE">
        <w:rPr>
          <w:rFonts w:cs="Arial"/>
          <w:color w:val="000000"/>
          <w:sz w:val="20"/>
          <w:szCs w:val="22"/>
        </w:rPr>
        <w:t>– dodaje L. Wiwała.</w:t>
      </w:r>
    </w:p>
    <w:p w:rsidR="00430E86" w:rsidRPr="000D42DE" w:rsidRDefault="00430E86" w:rsidP="005E124D">
      <w:pPr>
        <w:jc w:val="both"/>
        <w:rPr>
          <w:rFonts w:cs="Arial"/>
          <w:color w:val="000000"/>
          <w:sz w:val="20"/>
        </w:rPr>
      </w:pPr>
    </w:p>
    <w:p w:rsidR="00D1438E" w:rsidRPr="000D42DE" w:rsidRDefault="00467F6C" w:rsidP="00D1438E">
      <w:pPr>
        <w:jc w:val="both"/>
        <w:rPr>
          <w:rFonts w:cs="Arial"/>
          <w:color w:val="000000"/>
          <w:sz w:val="20"/>
        </w:rPr>
      </w:pPr>
      <w:r w:rsidRPr="000D42DE">
        <w:rPr>
          <w:rFonts w:cs="Arial"/>
          <w:color w:val="000000"/>
          <w:sz w:val="20"/>
        </w:rPr>
        <w:t>Polska wódka to jedyna polska</w:t>
      </w:r>
      <w:r w:rsidR="005542B0" w:rsidRPr="000D42DE">
        <w:rPr>
          <w:rFonts w:cs="Arial"/>
          <w:color w:val="000000"/>
          <w:sz w:val="20"/>
        </w:rPr>
        <w:t xml:space="preserve"> marka globalna, która </w:t>
      </w:r>
      <w:r w:rsidRPr="000D42DE">
        <w:rPr>
          <w:rFonts w:cs="Arial"/>
          <w:color w:val="000000"/>
          <w:sz w:val="20"/>
        </w:rPr>
        <w:t>budzi</w:t>
      </w:r>
      <w:r w:rsidR="005542B0" w:rsidRPr="000D42DE">
        <w:rPr>
          <w:rFonts w:cs="Arial"/>
          <w:color w:val="000000"/>
          <w:sz w:val="20"/>
        </w:rPr>
        <w:t xml:space="preserve"> tak silne skojarzenia z </w:t>
      </w:r>
      <w:r w:rsidRPr="000D42DE">
        <w:rPr>
          <w:rFonts w:cs="Arial"/>
          <w:color w:val="000000"/>
          <w:sz w:val="20"/>
        </w:rPr>
        <w:t xml:space="preserve">naszym krajem, dlatego tak istotne </w:t>
      </w:r>
      <w:r w:rsidR="005542B0" w:rsidRPr="000D42DE">
        <w:rPr>
          <w:rFonts w:cs="Arial"/>
          <w:color w:val="000000"/>
          <w:sz w:val="20"/>
        </w:rPr>
        <w:t xml:space="preserve">jest dbanie </w:t>
      </w:r>
      <w:r w:rsidRPr="000D42DE">
        <w:rPr>
          <w:rFonts w:cs="Arial"/>
          <w:color w:val="000000"/>
          <w:sz w:val="20"/>
        </w:rPr>
        <w:t xml:space="preserve">o jej wizerunek oraz </w:t>
      </w:r>
      <w:r w:rsidR="005542B0" w:rsidRPr="000D42DE">
        <w:rPr>
          <w:rFonts w:cs="Arial"/>
          <w:color w:val="000000"/>
          <w:sz w:val="20"/>
        </w:rPr>
        <w:t>ochronę ekonomicznych</w:t>
      </w:r>
      <w:r w:rsidRPr="000D42DE">
        <w:rPr>
          <w:rFonts w:cs="Arial"/>
          <w:color w:val="000000"/>
          <w:sz w:val="20"/>
        </w:rPr>
        <w:t xml:space="preserve"> i prawnych interesów </w:t>
      </w:r>
      <w:r w:rsidRPr="000D42DE">
        <w:rPr>
          <w:rFonts w:cs="Arial"/>
          <w:color w:val="000000"/>
          <w:sz w:val="20"/>
        </w:rPr>
        <w:br/>
        <w:t xml:space="preserve">w kraju, a także </w:t>
      </w:r>
      <w:r w:rsidR="005542B0" w:rsidRPr="000D42DE">
        <w:rPr>
          <w:rFonts w:cs="Arial"/>
          <w:color w:val="000000"/>
          <w:sz w:val="20"/>
        </w:rPr>
        <w:t xml:space="preserve">za granicą. </w:t>
      </w:r>
      <w:r w:rsidRPr="000D42DE">
        <w:rPr>
          <w:rFonts w:cs="Arial"/>
          <w:color w:val="000000"/>
          <w:sz w:val="20"/>
        </w:rPr>
        <w:t>Oznaczenie geograficzne uzyskaliśmy</w:t>
      </w:r>
      <w:r w:rsidR="005542B0" w:rsidRPr="000D42DE">
        <w:rPr>
          <w:rFonts w:cs="Arial"/>
          <w:color w:val="000000"/>
          <w:sz w:val="20"/>
        </w:rPr>
        <w:t xml:space="preserve"> podczas negocjacji akcesyjnych </w:t>
      </w:r>
      <w:r w:rsidRPr="000D42DE">
        <w:rPr>
          <w:rFonts w:cs="Arial"/>
          <w:color w:val="000000"/>
          <w:sz w:val="20"/>
        </w:rPr>
        <w:br/>
      </w:r>
      <w:r w:rsidR="005542B0" w:rsidRPr="000D42DE">
        <w:rPr>
          <w:rFonts w:cs="Arial"/>
          <w:color w:val="000000"/>
          <w:sz w:val="20"/>
        </w:rPr>
        <w:t xml:space="preserve">w UE. W trosce o utrzymanie renomy oraz jakości produkowanej na terytorium Polski wódki wymaga się, </w:t>
      </w:r>
      <w:r w:rsidR="00E120CF">
        <w:rPr>
          <w:rFonts w:cs="Arial"/>
          <w:color w:val="000000"/>
          <w:sz w:val="20"/>
        </w:rPr>
        <w:br/>
      </w:r>
      <w:r w:rsidR="005542B0" w:rsidRPr="000D42DE">
        <w:rPr>
          <w:rFonts w:cs="Arial"/>
          <w:color w:val="000000"/>
          <w:sz w:val="20"/>
        </w:rPr>
        <w:t xml:space="preserve">aby produkcja wódki etykietowanej jako „Polska Wódka/Polish Vodka” była zgodna z tradycyjną recepturą </w:t>
      </w:r>
      <w:r w:rsidR="00E120CF">
        <w:rPr>
          <w:rFonts w:cs="Arial"/>
          <w:color w:val="000000"/>
          <w:sz w:val="20"/>
        </w:rPr>
        <w:br/>
      </w:r>
      <w:r w:rsidR="005542B0" w:rsidRPr="000D42DE">
        <w:rPr>
          <w:rFonts w:cs="Arial"/>
          <w:color w:val="000000"/>
          <w:sz w:val="20"/>
        </w:rPr>
        <w:t xml:space="preserve">oraz </w:t>
      </w:r>
      <w:r w:rsidRPr="000D42DE">
        <w:rPr>
          <w:rFonts w:cs="Arial"/>
          <w:color w:val="000000"/>
          <w:sz w:val="20"/>
        </w:rPr>
        <w:t>powstawała z</w:t>
      </w:r>
      <w:r w:rsidR="005542B0" w:rsidRPr="000D42DE">
        <w:rPr>
          <w:rFonts w:cs="Arial"/>
          <w:color w:val="000000"/>
          <w:sz w:val="20"/>
        </w:rPr>
        <w:t xml:space="preserve"> surowców polskiego pochodzenia. Oznaczenie „Polska Wódka/Polish Vodka” może być nadane jedynie wyrobom z żyta, pszenicy, owsa, jęczmienia i ziemniaków a ich produkcja w całości musi odbywać się w Polsce. Rejestracja polskich oznaczeń geograficznych jest związana z podpisaniem umowy stowarzyszeniowej pomiędzy Unią Europejską a Ameryką Środkową.</w:t>
      </w:r>
    </w:p>
    <w:p w:rsidR="00D1438E" w:rsidRPr="000D42DE" w:rsidRDefault="00D1438E" w:rsidP="0010652C">
      <w:pPr>
        <w:jc w:val="both"/>
        <w:rPr>
          <w:rFonts w:cs="Arial"/>
          <w:color w:val="000000"/>
          <w:sz w:val="20"/>
        </w:rPr>
      </w:pPr>
    </w:p>
    <w:p w:rsidR="0010652C" w:rsidRDefault="007238A3" w:rsidP="0010652C">
      <w:pPr>
        <w:jc w:val="both"/>
        <w:rPr>
          <w:rFonts w:cs="Arial"/>
          <w:color w:val="000000"/>
          <w:sz w:val="20"/>
        </w:rPr>
      </w:pPr>
      <w:r w:rsidRPr="000D42DE">
        <w:rPr>
          <w:rFonts w:cs="Arial"/>
          <w:color w:val="000000"/>
          <w:sz w:val="20"/>
        </w:rPr>
        <w:t>Rynki Ameryki Środkowej i Południowej są</w:t>
      </w:r>
      <w:r w:rsidR="00A12D88" w:rsidRPr="000D42DE">
        <w:rPr>
          <w:rFonts w:cs="Arial"/>
          <w:color w:val="000000"/>
          <w:sz w:val="20"/>
        </w:rPr>
        <w:t xml:space="preserve"> uznawane za bardzo perspektywiczne</w:t>
      </w:r>
      <w:r w:rsidRPr="000D42DE">
        <w:rPr>
          <w:rFonts w:cs="Arial"/>
          <w:color w:val="000000"/>
          <w:sz w:val="20"/>
        </w:rPr>
        <w:t xml:space="preserve"> z punktu widzenia </w:t>
      </w:r>
      <w:r w:rsidR="00A12D88" w:rsidRPr="000D42DE">
        <w:rPr>
          <w:rFonts w:cs="Arial"/>
          <w:color w:val="000000"/>
          <w:sz w:val="20"/>
        </w:rPr>
        <w:t xml:space="preserve">możliwości </w:t>
      </w:r>
      <w:r w:rsidRPr="000D42DE">
        <w:rPr>
          <w:rFonts w:cs="Arial"/>
          <w:color w:val="000000"/>
          <w:sz w:val="20"/>
        </w:rPr>
        <w:t xml:space="preserve">rozwoju eksportu </w:t>
      </w:r>
      <w:r w:rsidR="00A12D88" w:rsidRPr="000D42DE">
        <w:rPr>
          <w:rFonts w:cs="Arial"/>
          <w:color w:val="000000"/>
          <w:sz w:val="20"/>
        </w:rPr>
        <w:t>wyrobów spirytusowych. Decyduje o tym prz</w:t>
      </w:r>
      <w:r w:rsidR="005723FD">
        <w:rPr>
          <w:rFonts w:cs="Arial"/>
          <w:color w:val="000000"/>
          <w:sz w:val="20"/>
        </w:rPr>
        <w:t>ede wszystkim rosnąca zamożność</w:t>
      </w:r>
      <w:r w:rsidR="00A12D88" w:rsidRPr="000D42DE">
        <w:rPr>
          <w:rFonts w:cs="Arial"/>
          <w:color w:val="000000"/>
          <w:sz w:val="20"/>
        </w:rPr>
        <w:t xml:space="preserve"> społeczeństw oraz tradycja spożywania i wytwarzania napojów alkoholowych. </w:t>
      </w:r>
      <w:r w:rsidR="005723FD">
        <w:rPr>
          <w:rFonts w:cs="Arial"/>
          <w:color w:val="000000"/>
          <w:sz w:val="20"/>
        </w:rPr>
        <w:t xml:space="preserve">Przez ostatnią dekadę eksport mocnych alkoholi z Europy do Ameryki Środkowej systematycznie rósł. </w:t>
      </w:r>
      <w:r w:rsidR="00A12D88" w:rsidRPr="000D42DE">
        <w:rPr>
          <w:rFonts w:cs="Arial"/>
          <w:color w:val="000000"/>
          <w:sz w:val="20"/>
        </w:rPr>
        <w:t>W wielu krajach</w:t>
      </w:r>
      <w:r w:rsidR="00046858">
        <w:rPr>
          <w:rFonts w:cs="Arial"/>
          <w:color w:val="000000"/>
          <w:sz w:val="20"/>
        </w:rPr>
        <w:t>,</w:t>
      </w:r>
      <w:r w:rsidR="005723FD">
        <w:rPr>
          <w:rFonts w:cs="Arial"/>
          <w:color w:val="000000"/>
          <w:sz w:val="20"/>
        </w:rPr>
        <w:t xml:space="preserve"> </w:t>
      </w:r>
      <w:r w:rsidR="00A12D88" w:rsidRPr="000D42DE">
        <w:rPr>
          <w:rFonts w:cs="Arial"/>
          <w:color w:val="000000"/>
          <w:sz w:val="20"/>
        </w:rPr>
        <w:t>takich jak Meksyk, Brazylia, Chile polsk</w:t>
      </w:r>
      <w:r w:rsidR="00467F6C" w:rsidRPr="000D42DE">
        <w:rPr>
          <w:rFonts w:cs="Arial"/>
          <w:color w:val="000000"/>
          <w:sz w:val="20"/>
        </w:rPr>
        <w:t xml:space="preserve">ie wódki są już znane i cenione, </w:t>
      </w:r>
      <w:r w:rsidR="00046858">
        <w:rPr>
          <w:rFonts w:cs="Arial"/>
          <w:color w:val="000000"/>
          <w:sz w:val="20"/>
        </w:rPr>
        <w:t xml:space="preserve">stąd </w:t>
      </w:r>
      <w:r w:rsidR="00467F6C" w:rsidRPr="000D42DE">
        <w:rPr>
          <w:rFonts w:cs="Arial"/>
          <w:color w:val="000000"/>
          <w:sz w:val="20"/>
        </w:rPr>
        <w:t xml:space="preserve">szansa na zwiększenie ich obecności </w:t>
      </w:r>
      <w:r w:rsidR="005723FD">
        <w:rPr>
          <w:rFonts w:cs="Arial"/>
          <w:color w:val="000000"/>
          <w:sz w:val="20"/>
        </w:rPr>
        <w:t xml:space="preserve">na kolejnych rynkach </w:t>
      </w:r>
      <w:r w:rsidR="00046858">
        <w:rPr>
          <w:rFonts w:cs="Arial"/>
          <w:color w:val="000000"/>
          <w:sz w:val="20"/>
        </w:rPr>
        <w:t xml:space="preserve">w tym regionie pozostaje </w:t>
      </w:r>
      <w:r w:rsidR="00467F6C" w:rsidRPr="000D42DE">
        <w:rPr>
          <w:rFonts w:cs="Arial"/>
          <w:color w:val="000000"/>
          <w:sz w:val="20"/>
        </w:rPr>
        <w:t xml:space="preserve">bardzo </w:t>
      </w:r>
      <w:r w:rsidR="00A12D88" w:rsidRPr="000D42DE">
        <w:rPr>
          <w:rFonts w:cs="Arial"/>
          <w:color w:val="000000"/>
          <w:sz w:val="20"/>
        </w:rPr>
        <w:t>duż</w:t>
      </w:r>
      <w:r w:rsidR="00467F6C" w:rsidRPr="000D42DE">
        <w:rPr>
          <w:rFonts w:cs="Arial"/>
          <w:color w:val="000000"/>
          <w:sz w:val="20"/>
        </w:rPr>
        <w:t>a</w:t>
      </w:r>
      <w:r w:rsidR="00A12D88" w:rsidRPr="000D42DE">
        <w:rPr>
          <w:rFonts w:cs="Arial"/>
          <w:color w:val="000000"/>
          <w:sz w:val="20"/>
        </w:rPr>
        <w:t>.</w:t>
      </w:r>
    </w:p>
    <w:p w:rsidR="000D42DE" w:rsidRDefault="000D42DE" w:rsidP="000D42DE">
      <w:pPr>
        <w:jc w:val="center"/>
        <w:rPr>
          <w:rFonts w:cs="Arial"/>
          <w:color w:val="000000"/>
          <w:sz w:val="20"/>
        </w:rPr>
      </w:pPr>
      <w:r w:rsidRPr="000D42DE">
        <w:rPr>
          <w:rFonts w:cs="Arial"/>
          <w:noProof/>
          <w:color w:val="000000"/>
          <w:sz w:val="20"/>
          <w:lang w:eastAsia="pl-PL"/>
        </w:rPr>
        <w:drawing>
          <wp:inline distT="0" distB="0" distL="0" distR="0">
            <wp:extent cx="5648960" cy="1988820"/>
            <wp:effectExtent l="0" t="0" r="0" b="0"/>
            <wp:docPr id="7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723FD" w:rsidRPr="005723FD" w:rsidRDefault="005723FD" w:rsidP="000D42DE">
      <w:pPr>
        <w:jc w:val="center"/>
        <w:rPr>
          <w:rFonts w:cs="Arial"/>
          <w:color w:val="000000"/>
          <w:sz w:val="16"/>
        </w:rPr>
      </w:pPr>
      <w:r w:rsidRPr="005723FD">
        <w:rPr>
          <w:rFonts w:cs="Arial"/>
          <w:color w:val="000000"/>
          <w:sz w:val="16"/>
        </w:rPr>
        <w:t>Dane: EUROSTAT 2013 dla UE28</w:t>
      </w:r>
    </w:p>
    <w:p w:rsidR="000D42DE" w:rsidRPr="001B614C" w:rsidRDefault="000D42DE" w:rsidP="0010652C">
      <w:pPr>
        <w:jc w:val="both"/>
        <w:rPr>
          <w:rFonts w:cs="Arial"/>
          <w:color w:val="000000"/>
          <w:sz w:val="20"/>
        </w:rPr>
      </w:pPr>
    </w:p>
    <w:p w:rsidR="001B26EA" w:rsidRPr="000D42DE" w:rsidRDefault="003A757F" w:rsidP="003A757F">
      <w:pPr>
        <w:jc w:val="both"/>
        <w:rPr>
          <w:rFonts w:cs="Arial"/>
          <w:color w:val="000000"/>
          <w:sz w:val="20"/>
          <w:szCs w:val="22"/>
        </w:rPr>
      </w:pPr>
      <w:r w:rsidRPr="000D42DE">
        <w:rPr>
          <w:rFonts w:cs="Arial"/>
          <w:color w:val="000000"/>
          <w:sz w:val="20"/>
          <w:szCs w:val="22"/>
        </w:rPr>
        <w:t xml:space="preserve">Przykład Szkocji pokazuje, że inwestowanie w narodowy trunek może </w:t>
      </w:r>
      <w:r w:rsidR="005542B0" w:rsidRPr="000D42DE">
        <w:rPr>
          <w:rFonts w:cs="Arial"/>
          <w:color w:val="000000"/>
          <w:sz w:val="20"/>
          <w:szCs w:val="22"/>
        </w:rPr>
        <w:t xml:space="preserve">być </w:t>
      </w:r>
      <w:r w:rsidRPr="000D42DE">
        <w:rPr>
          <w:rFonts w:cs="Arial"/>
          <w:color w:val="000000"/>
          <w:sz w:val="20"/>
          <w:szCs w:val="22"/>
        </w:rPr>
        <w:t>sposobem na rozwój gos</w:t>
      </w:r>
      <w:r w:rsidR="00467F6C" w:rsidRPr="000D42DE">
        <w:rPr>
          <w:rFonts w:cs="Arial"/>
          <w:color w:val="000000"/>
          <w:sz w:val="20"/>
          <w:szCs w:val="22"/>
        </w:rPr>
        <w:t>podarczy całego kraju. Eksport</w:t>
      </w:r>
      <w:r w:rsidRPr="000D42DE">
        <w:rPr>
          <w:rFonts w:cs="Arial"/>
          <w:color w:val="000000"/>
          <w:sz w:val="20"/>
          <w:szCs w:val="22"/>
        </w:rPr>
        <w:t xml:space="preserve"> whisk</w:t>
      </w:r>
      <w:r w:rsidR="00467F6C" w:rsidRPr="000D42DE">
        <w:rPr>
          <w:rFonts w:cs="Arial"/>
          <w:color w:val="000000"/>
          <w:sz w:val="20"/>
          <w:szCs w:val="22"/>
        </w:rPr>
        <w:t>y stanowi 80% eksportu żywności</w:t>
      </w:r>
      <w:r w:rsidRPr="000D42DE">
        <w:rPr>
          <w:rFonts w:cs="Arial"/>
          <w:color w:val="000000"/>
          <w:sz w:val="20"/>
          <w:szCs w:val="22"/>
        </w:rPr>
        <w:t xml:space="preserve"> </w:t>
      </w:r>
      <w:r w:rsidR="00467F6C" w:rsidRPr="000D42DE">
        <w:rPr>
          <w:rFonts w:cs="Arial"/>
          <w:color w:val="000000"/>
          <w:sz w:val="20"/>
          <w:szCs w:val="22"/>
        </w:rPr>
        <w:t xml:space="preserve">Szkocji </w:t>
      </w:r>
      <w:r w:rsidRPr="000D42DE">
        <w:rPr>
          <w:rFonts w:cs="Arial"/>
          <w:color w:val="000000"/>
          <w:sz w:val="20"/>
          <w:szCs w:val="22"/>
        </w:rPr>
        <w:t xml:space="preserve">oraz 25% </w:t>
      </w:r>
      <w:r w:rsidR="00467F6C" w:rsidRPr="000D42DE">
        <w:rPr>
          <w:rFonts w:cs="Arial"/>
          <w:color w:val="000000"/>
          <w:sz w:val="20"/>
          <w:szCs w:val="22"/>
        </w:rPr>
        <w:t xml:space="preserve">całej </w:t>
      </w:r>
      <w:r w:rsidRPr="000D42DE">
        <w:rPr>
          <w:rFonts w:cs="Arial"/>
          <w:color w:val="000000"/>
          <w:sz w:val="20"/>
          <w:szCs w:val="22"/>
        </w:rPr>
        <w:t>Wielkiej Brytanii. Popularna szkocka jest obecna na pona</w:t>
      </w:r>
      <w:r w:rsidR="00394BCE" w:rsidRPr="000D42DE">
        <w:rPr>
          <w:rFonts w:cs="Arial"/>
          <w:color w:val="000000"/>
          <w:sz w:val="20"/>
          <w:szCs w:val="22"/>
        </w:rPr>
        <w:t>d 200 rynkach na</w:t>
      </w:r>
      <w:r w:rsidR="00C97A0D" w:rsidRPr="000D42DE">
        <w:rPr>
          <w:rFonts w:cs="Arial"/>
          <w:color w:val="000000"/>
          <w:sz w:val="20"/>
          <w:szCs w:val="22"/>
        </w:rPr>
        <w:t xml:space="preserve"> świecie. </w:t>
      </w:r>
      <w:r w:rsidRPr="000D42DE">
        <w:rPr>
          <w:rFonts w:cs="Arial"/>
          <w:color w:val="000000"/>
          <w:sz w:val="20"/>
          <w:szCs w:val="22"/>
        </w:rPr>
        <w:t xml:space="preserve">W kraju operuje 109 gorzelni, a sektor oferuje 35 tys. miejsc pracy, zasilając budżet kwotą 5 mld zł rocznie. Jak przekonywał w czerwcu br. </w:t>
      </w:r>
      <w:r w:rsidR="00046858">
        <w:rPr>
          <w:rFonts w:cs="Arial"/>
          <w:color w:val="000000"/>
          <w:sz w:val="20"/>
          <w:szCs w:val="22"/>
        </w:rPr>
        <w:br/>
      </w:r>
      <w:r w:rsidRPr="000D42DE">
        <w:rPr>
          <w:rFonts w:cs="Arial"/>
          <w:color w:val="000000"/>
          <w:sz w:val="20"/>
          <w:szCs w:val="22"/>
        </w:rPr>
        <w:t xml:space="preserve">na I Kongresie Branży Spirytusowej Nick </w:t>
      </w:r>
      <w:proofErr w:type="spellStart"/>
      <w:r w:rsidRPr="000D42DE">
        <w:rPr>
          <w:rFonts w:cs="Arial"/>
          <w:color w:val="000000"/>
          <w:sz w:val="20"/>
          <w:szCs w:val="22"/>
        </w:rPr>
        <w:t>Soper</w:t>
      </w:r>
      <w:proofErr w:type="spellEnd"/>
      <w:r w:rsidRPr="000D42DE">
        <w:rPr>
          <w:rFonts w:cs="Arial"/>
          <w:color w:val="000000"/>
          <w:sz w:val="20"/>
          <w:szCs w:val="22"/>
        </w:rPr>
        <w:t xml:space="preserve">, Dyrektor w </w:t>
      </w:r>
      <w:proofErr w:type="spellStart"/>
      <w:r w:rsidRPr="000D42DE">
        <w:rPr>
          <w:rFonts w:cs="Arial"/>
          <w:color w:val="000000"/>
          <w:sz w:val="20"/>
          <w:szCs w:val="22"/>
        </w:rPr>
        <w:t>Scotch</w:t>
      </w:r>
      <w:proofErr w:type="spellEnd"/>
      <w:r w:rsidRPr="000D42DE">
        <w:rPr>
          <w:rFonts w:cs="Arial"/>
          <w:color w:val="000000"/>
          <w:sz w:val="20"/>
          <w:szCs w:val="22"/>
        </w:rPr>
        <w:t xml:space="preserve"> Whisky Association, nie było by tego sukcesu, gdyby nie długofalowa współpraca administracji rządowej, ambasad, samorządów lokalnych, organizacji branżowych oraz przemysłu </w:t>
      </w:r>
      <w:r w:rsidR="00C97A0D" w:rsidRPr="000D42DE">
        <w:rPr>
          <w:rFonts w:cs="Arial"/>
          <w:color w:val="000000"/>
          <w:sz w:val="20"/>
          <w:szCs w:val="22"/>
        </w:rPr>
        <w:t>w kraju i w Unii Europejskiej.</w:t>
      </w:r>
    </w:p>
    <w:p w:rsidR="00D1438E" w:rsidRPr="000D42DE" w:rsidRDefault="00D1438E" w:rsidP="0010652C">
      <w:pPr>
        <w:jc w:val="both"/>
        <w:rPr>
          <w:rFonts w:cs="Arial"/>
          <w:color w:val="000000"/>
          <w:sz w:val="20"/>
        </w:rPr>
      </w:pPr>
    </w:p>
    <w:p w:rsidR="001B26EA" w:rsidRPr="000D42DE" w:rsidRDefault="001B26EA" w:rsidP="001B26EA">
      <w:pPr>
        <w:jc w:val="both"/>
        <w:rPr>
          <w:rFonts w:cs="Arial"/>
          <w:b/>
          <w:color w:val="000000"/>
          <w:sz w:val="20"/>
        </w:rPr>
      </w:pPr>
      <w:r w:rsidRPr="000D42DE">
        <w:rPr>
          <w:rFonts w:cs="Arial"/>
          <w:b/>
          <w:color w:val="000000"/>
          <w:sz w:val="20"/>
        </w:rPr>
        <w:t>Eksport polskich wódek w liczbach</w:t>
      </w:r>
    </w:p>
    <w:p w:rsidR="001B26EA" w:rsidRPr="000D42DE" w:rsidRDefault="001B26EA" w:rsidP="001B26EA">
      <w:pPr>
        <w:jc w:val="both"/>
        <w:rPr>
          <w:rFonts w:cs="Arial"/>
          <w:color w:val="000000"/>
          <w:sz w:val="20"/>
        </w:rPr>
      </w:pPr>
      <w:r w:rsidRPr="000D42DE">
        <w:rPr>
          <w:rFonts w:cs="Arial"/>
          <w:color w:val="000000"/>
          <w:sz w:val="20"/>
        </w:rPr>
        <w:t>(dane za 2013 r.)</w:t>
      </w:r>
    </w:p>
    <w:p w:rsidR="001B26EA" w:rsidRPr="000D42DE" w:rsidRDefault="001B26EA" w:rsidP="001B26EA">
      <w:pPr>
        <w:jc w:val="both"/>
        <w:rPr>
          <w:rFonts w:cs="Arial"/>
          <w:color w:val="000000"/>
          <w:sz w:val="20"/>
        </w:rPr>
      </w:pPr>
    </w:p>
    <w:tbl>
      <w:tblPr>
        <w:tblStyle w:val="Tabela-Siatka"/>
        <w:tblW w:w="0" w:type="auto"/>
        <w:tblLook w:val="04A0"/>
      </w:tblPr>
      <w:tblGrid>
        <w:gridCol w:w="5868"/>
        <w:gridCol w:w="4136"/>
      </w:tblGrid>
      <w:tr w:rsidR="001B26EA" w:rsidRPr="000D42DE" w:rsidTr="00D1438E">
        <w:tc>
          <w:tcPr>
            <w:tcW w:w="5868" w:type="dxa"/>
          </w:tcPr>
          <w:p w:rsidR="001B26EA" w:rsidRPr="000D42DE" w:rsidRDefault="001B26EA" w:rsidP="001B26EA">
            <w:pPr>
              <w:jc w:val="both"/>
              <w:rPr>
                <w:rFonts w:cs="Arial"/>
                <w:color w:val="000000"/>
                <w:sz w:val="20"/>
              </w:rPr>
            </w:pPr>
            <w:r w:rsidRPr="000D42DE">
              <w:rPr>
                <w:rFonts w:cs="Arial"/>
                <w:color w:val="000000"/>
                <w:sz w:val="20"/>
              </w:rPr>
              <w:t>eksport wódki – 40,25 mln litrów</w:t>
            </w:r>
          </w:p>
          <w:p w:rsidR="001B26EA" w:rsidRPr="000D42DE" w:rsidRDefault="001B26EA" w:rsidP="001B26EA">
            <w:pPr>
              <w:jc w:val="both"/>
              <w:rPr>
                <w:rFonts w:cs="Arial"/>
                <w:color w:val="000000"/>
                <w:sz w:val="20"/>
              </w:rPr>
            </w:pPr>
            <w:r w:rsidRPr="000D42DE">
              <w:rPr>
                <w:rFonts w:cs="Arial"/>
                <w:color w:val="000000"/>
                <w:sz w:val="20"/>
              </w:rPr>
              <w:t>eksport napojów spirytusowych – 50, 75 mln litrów</w:t>
            </w:r>
          </w:p>
          <w:p w:rsidR="001B26EA" w:rsidRPr="000D42DE" w:rsidRDefault="001B26EA" w:rsidP="001B26EA">
            <w:pPr>
              <w:jc w:val="both"/>
              <w:rPr>
                <w:rFonts w:cs="Arial"/>
                <w:color w:val="000000"/>
                <w:sz w:val="20"/>
              </w:rPr>
            </w:pPr>
            <w:r w:rsidRPr="000D42DE">
              <w:rPr>
                <w:rFonts w:cs="Arial"/>
                <w:color w:val="000000"/>
                <w:sz w:val="20"/>
              </w:rPr>
              <w:t>wartość eksportu wódki – 120 mln euro</w:t>
            </w:r>
          </w:p>
          <w:p w:rsidR="001B26EA" w:rsidRPr="000D42DE" w:rsidRDefault="001B26EA" w:rsidP="001B26EA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4136" w:type="dxa"/>
          </w:tcPr>
          <w:p w:rsidR="001B26EA" w:rsidRPr="000D42DE" w:rsidRDefault="001B26EA" w:rsidP="001B26EA">
            <w:pPr>
              <w:jc w:val="both"/>
              <w:rPr>
                <w:rFonts w:cs="Arial"/>
                <w:color w:val="000000"/>
                <w:sz w:val="20"/>
              </w:rPr>
            </w:pPr>
            <w:r w:rsidRPr="000D42DE">
              <w:rPr>
                <w:rFonts w:cs="Arial"/>
                <w:color w:val="000000"/>
                <w:sz w:val="20"/>
              </w:rPr>
              <w:t>62% rynki Unii Europejskiej</w:t>
            </w:r>
          </w:p>
          <w:p w:rsidR="001B26EA" w:rsidRPr="000D42DE" w:rsidRDefault="001B26EA" w:rsidP="001B26EA">
            <w:pPr>
              <w:jc w:val="both"/>
              <w:rPr>
                <w:rFonts w:cs="Arial"/>
                <w:color w:val="000000"/>
                <w:sz w:val="20"/>
              </w:rPr>
            </w:pPr>
            <w:r w:rsidRPr="000D42DE">
              <w:rPr>
                <w:rFonts w:cs="Arial"/>
                <w:color w:val="000000"/>
                <w:sz w:val="20"/>
              </w:rPr>
              <w:t>21% USA</w:t>
            </w:r>
          </w:p>
          <w:p w:rsidR="001B26EA" w:rsidRPr="000D42DE" w:rsidRDefault="001B26EA" w:rsidP="001B26EA">
            <w:pPr>
              <w:jc w:val="both"/>
              <w:rPr>
                <w:rFonts w:cs="Arial"/>
                <w:color w:val="000000"/>
                <w:sz w:val="20"/>
              </w:rPr>
            </w:pPr>
            <w:r w:rsidRPr="000D42DE">
              <w:rPr>
                <w:rFonts w:cs="Arial"/>
                <w:color w:val="000000"/>
                <w:sz w:val="20"/>
              </w:rPr>
              <w:t>3% Kanada</w:t>
            </w:r>
          </w:p>
          <w:p w:rsidR="001B26EA" w:rsidRPr="000D42DE" w:rsidRDefault="001B26EA" w:rsidP="001B26EA">
            <w:pPr>
              <w:jc w:val="both"/>
              <w:rPr>
                <w:rFonts w:cs="Arial"/>
                <w:color w:val="000000"/>
                <w:sz w:val="20"/>
              </w:rPr>
            </w:pPr>
            <w:r w:rsidRPr="000D42DE">
              <w:rPr>
                <w:rFonts w:cs="Arial"/>
                <w:color w:val="000000"/>
                <w:sz w:val="20"/>
              </w:rPr>
              <w:t>14% pozostałe kraje</w:t>
            </w:r>
          </w:p>
        </w:tc>
      </w:tr>
    </w:tbl>
    <w:p w:rsidR="005542B0" w:rsidRPr="000D42DE" w:rsidRDefault="005542B0" w:rsidP="0010652C">
      <w:pPr>
        <w:jc w:val="both"/>
        <w:rPr>
          <w:rFonts w:cs="Arial"/>
          <w:b/>
          <w:color w:val="000000"/>
          <w:sz w:val="20"/>
        </w:rPr>
      </w:pPr>
    </w:p>
    <w:p w:rsidR="005542B0" w:rsidRPr="000D42DE" w:rsidRDefault="005542B0" w:rsidP="0010652C">
      <w:pPr>
        <w:jc w:val="both"/>
        <w:rPr>
          <w:rFonts w:cs="Arial"/>
          <w:b/>
          <w:color w:val="000000"/>
          <w:sz w:val="20"/>
        </w:rPr>
      </w:pPr>
    </w:p>
    <w:p w:rsidR="001B26EA" w:rsidRPr="000D42DE" w:rsidRDefault="001B26EA" w:rsidP="0010652C">
      <w:pPr>
        <w:jc w:val="both"/>
        <w:rPr>
          <w:rFonts w:cs="Arial"/>
          <w:b/>
          <w:color w:val="000000"/>
          <w:sz w:val="20"/>
        </w:rPr>
      </w:pPr>
      <w:r w:rsidRPr="000D42DE">
        <w:rPr>
          <w:rFonts w:cs="Arial"/>
          <w:b/>
          <w:color w:val="000000"/>
          <w:sz w:val="20"/>
        </w:rPr>
        <w:t>Mapa eksportu polskich wyrobów spirytusowych</w:t>
      </w:r>
    </w:p>
    <w:p w:rsidR="001B26EA" w:rsidRPr="000D42DE" w:rsidRDefault="001B26EA" w:rsidP="0010652C">
      <w:pPr>
        <w:jc w:val="both"/>
        <w:rPr>
          <w:rFonts w:cs="Arial"/>
          <w:color w:val="000000"/>
          <w:sz w:val="20"/>
        </w:rPr>
      </w:pPr>
      <w:r w:rsidRPr="000D42DE">
        <w:rPr>
          <w:rFonts w:cs="Arial"/>
          <w:color w:val="000000"/>
          <w:sz w:val="20"/>
        </w:rPr>
        <w:t>(kraje na które eksportujemy zostały zaznaczone na szaro)</w:t>
      </w:r>
    </w:p>
    <w:p w:rsidR="001B26EA" w:rsidRPr="001B26EA" w:rsidRDefault="001B26EA" w:rsidP="0010652C">
      <w:pPr>
        <w:jc w:val="both"/>
        <w:rPr>
          <w:rFonts w:cs="Arial"/>
          <w:b/>
          <w:color w:val="000000"/>
          <w:sz w:val="22"/>
        </w:rPr>
      </w:pPr>
    </w:p>
    <w:p w:rsidR="001B26EA" w:rsidRDefault="001B26EA" w:rsidP="00046858">
      <w:pPr>
        <w:jc w:val="center"/>
        <w:rPr>
          <w:rFonts w:cs="Arial"/>
          <w:color w:val="000000"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>
            <wp:extent cx="5821122" cy="2798923"/>
            <wp:effectExtent l="19050" t="0" r="8178" b="0"/>
            <wp:docPr id="1" name="Obraz 1" descr="http://zppps.pl/thumbs/filemanager/branza/wykresy_03-53abb433793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ppps.pl/thumbs/filemanager/branza/wykresy_03-53abb4337935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594" cy="2800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6EA" w:rsidRDefault="001B26EA" w:rsidP="0010652C">
      <w:pPr>
        <w:jc w:val="both"/>
        <w:rPr>
          <w:rFonts w:cs="Arial"/>
          <w:color w:val="000000"/>
          <w:sz w:val="22"/>
          <w:szCs w:val="22"/>
        </w:rPr>
      </w:pPr>
    </w:p>
    <w:p w:rsidR="001B26EA" w:rsidRPr="00B72AFF" w:rsidRDefault="001B26EA" w:rsidP="0010652C">
      <w:pPr>
        <w:jc w:val="both"/>
        <w:rPr>
          <w:rFonts w:cs="Arial"/>
          <w:color w:val="000000"/>
          <w:sz w:val="22"/>
          <w:szCs w:val="22"/>
        </w:rPr>
      </w:pPr>
    </w:p>
    <w:p w:rsidR="001B26EA" w:rsidRDefault="001B26EA" w:rsidP="0010652C">
      <w:pPr>
        <w:jc w:val="both"/>
        <w:rPr>
          <w:rFonts w:cs="Arial"/>
          <w:color w:val="000000"/>
          <w:sz w:val="20"/>
        </w:rPr>
      </w:pPr>
    </w:p>
    <w:p w:rsidR="00E120CF" w:rsidRDefault="00E120CF" w:rsidP="0010652C">
      <w:pPr>
        <w:jc w:val="both"/>
        <w:rPr>
          <w:rFonts w:cs="Arial"/>
          <w:color w:val="000000"/>
          <w:sz w:val="20"/>
        </w:rPr>
      </w:pPr>
    </w:p>
    <w:p w:rsidR="00E120CF" w:rsidRDefault="00E120CF" w:rsidP="0010652C">
      <w:pPr>
        <w:jc w:val="both"/>
        <w:rPr>
          <w:rFonts w:cs="Arial"/>
          <w:color w:val="000000"/>
          <w:sz w:val="20"/>
        </w:rPr>
      </w:pPr>
    </w:p>
    <w:p w:rsidR="009A5DAF" w:rsidRDefault="009A5DAF" w:rsidP="00C21AF6">
      <w:pPr>
        <w:shd w:val="clear" w:color="auto" w:fill="FFFFFF"/>
        <w:jc w:val="center"/>
        <w:rPr>
          <w:rFonts w:cs="Arial"/>
          <w:sz w:val="20"/>
        </w:rPr>
      </w:pPr>
      <w:r>
        <w:rPr>
          <w:rFonts w:cs="Arial"/>
          <w:sz w:val="20"/>
        </w:rPr>
        <w:t>***</w:t>
      </w:r>
    </w:p>
    <w:p w:rsidR="009A5DAF" w:rsidRPr="00667815" w:rsidRDefault="00ED2180" w:rsidP="00C21AF6">
      <w:pPr>
        <w:pStyle w:val="NormalnyWeb"/>
        <w:jc w:val="both"/>
        <w:rPr>
          <w:rFonts w:ascii="Arial" w:hAnsi="Arial" w:cs="Arial"/>
          <w:color w:val="000000"/>
          <w:sz w:val="18"/>
          <w:szCs w:val="18"/>
        </w:rPr>
      </w:pPr>
      <w:r w:rsidRPr="00851C54">
        <w:rPr>
          <w:rFonts w:ascii="Arial" w:hAnsi="Arial" w:cs="Arial"/>
          <w:b/>
          <w:color w:val="000000"/>
          <w:sz w:val="18"/>
          <w:szCs w:val="18"/>
        </w:rPr>
        <w:t>Związek Pracodawców Polski Przemysł Spirytusowy</w:t>
      </w:r>
      <w:r w:rsidRPr="00851C54">
        <w:rPr>
          <w:rFonts w:ascii="Arial" w:hAnsi="Arial" w:cs="Arial"/>
          <w:color w:val="000000"/>
          <w:sz w:val="18"/>
          <w:szCs w:val="18"/>
        </w:rPr>
        <w:t xml:space="preserve"> jest organizacją branżową zrzeszającą producentów napojów spirytusowych. Do jego zadań należy podejmowanie działań ukierunkowanych na rozwój branży spirytusowej w Polsce i za granicą poprzez współpracę z przedstawicielami władzy publicznej oraz organizacjami społecznymi. ZP PPS zajmuje się przede wszystkim kwestiami związanymi z tworzeniem odpowiednich warunków prawnych i ekonomicznych dla rozwoju branży, umacnianiem wielowiekowej tradycji wyrobów spirytusowych, promowaniem nowych technologii oraz realizacją działań z zakresu społecznej odpowiedzialności </w:t>
      </w:r>
      <w:proofErr w:type="spellStart"/>
      <w:r w:rsidRPr="00851C54">
        <w:rPr>
          <w:rFonts w:ascii="Arial" w:hAnsi="Arial" w:cs="Arial"/>
          <w:color w:val="000000"/>
          <w:sz w:val="18"/>
          <w:szCs w:val="18"/>
        </w:rPr>
        <w:t>biznesu</w:t>
      </w:r>
      <w:proofErr w:type="spellEnd"/>
      <w:r w:rsidRPr="00851C54">
        <w:rPr>
          <w:rFonts w:ascii="Arial" w:hAnsi="Arial" w:cs="Arial"/>
          <w:color w:val="000000"/>
          <w:sz w:val="18"/>
          <w:szCs w:val="18"/>
        </w:rPr>
        <w:t xml:space="preserve"> w branży spirytusowej. Podejmuje również szerokie działania edukacyjne mające na celu rozpowszechnienie wiedzy na temat zagrożeń związanych z jego nieodpowiedzialną konsumpcją i sprzedażą alkoholu. Członkami ZP PPS są: </w:t>
      </w:r>
      <w:proofErr w:type="spellStart"/>
      <w:r w:rsidR="00B15A5D" w:rsidRPr="00B15A5D">
        <w:rPr>
          <w:rFonts w:ascii="Arial" w:hAnsi="Arial" w:cs="Arial"/>
          <w:color w:val="000000"/>
          <w:sz w:val="18"/>
          <w:szCs w:val="18"/>
        </w:rPr>
        <w:t>Akwawit-Polmos</w:t>
      </w:r>
      <w:proofErr w:type="spellEnd"/>
      <w:r w:rsidR="00B15A5D" w:rsidRPr="00B15A5D">
        <w:rPr>
          <w:rFonts w:ascii="Arial" w:hAnsi="Arial" w:cs="Arial"/>
          <w:color w:val="000000"/>
          <w:sz w:val="18"/>
          <w:szCs w:val="18"/>
        </w:rPr>
        <w:t xml:space="preserve"> S.A.</w:t>
      </w:r>
      <w:r w:rsidR="00B15A5D">
        <w:rPr>
          <w:rFonts w:ascii="Arial" w:hAnsi="Arial" w:cs="Arial"/>
          <w:color w:val="000000"/>
          <w:sz w:val="18"/>
          <w:szCs w:val="18"/>
        </w:rPr>
        <w:t>,</w:t>
      </w:r>
      <w:r w:rsidR="00B15A5D" w:rsidRPr="00B15A5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851C54">
        <w:rPr>
          <w:rFonts w:ascii="Arial" w:hAnsi="Arial" w:cs="Arial"/>
          <w:color w:val="000000"/>
          <w:sz w:val="18"/>
          <w:szCs w:val="18"/>
        </w:rPr>
        <w:t>Bacardi</w:t>
      </w:r>
      <w:proofErr w:type="spellEnd"/>
      <w:r w:rsidRPr="00851C54">
        <w:rPr>
          <w:rFonts w:ascii="Arial" w:hAnsi="Arial" w:cs="Arial"/>
          <w:color w:val="000000"/>
          <w:sz w:val="18"/>
          <w:szCs w:val="18"/>
        </w:rPr>
        <w:t xml:space="preserve"> Martini Polska, </w:t>
      </w:r>
      <w:r w:rsidR="006E1E2F">
        <w:rPr>
          <w:rFonts w:ascii="Arial" w:hAnsi="Arial" w:cs="Arial"/>
          <w:color w:val="000000"/>
          <w:sz w:val="18"/>
          <w:szCs w:val="18"/>
        </w:rPr>
        <w:t xml:space="preserve">Baczewski J.A., </w:t>
      </w:r>
      <w:r w:rsidRPr="00851C54">
        <w:rPr>
          <w:rFonts w:ascii="Arial" w:hAnsi="Arial" w:cs="Arial"/>
          <w:color w:val="000000"/>
          <w:sz w:val="18"/>
          <w:szCs w:val="18"/>
        </w:rPr>
        <w:t>Brown Forman Polska, CEDC</w:t>
      </w:r>
      <w:r>
        <w:rPr>
          <w:rFonts w:ascii="Arial" w:hAnsi="Arial" w:cs="Arial"/>
          <w:color w:val="000000"/>
          <w:sz w:val="18"/>
          <w:szCs w:val="18"/>
        </w:rPr>
        <w:t xml:space="preserve"> International</w:t>
      </w:r>
      <w:r w:rsidRPr="00851C54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851C54">
        <w:rPr>
          <w:rFonts w:ascii="Arial" w:hAnsi="Arial" w:cs="Arial"/>
          <w:color w:val="000000"/>
          <w:sz w:val="18"/>
          <w:szCs w:val="18"/>
        </w:rPr>
        <w:t>Diageo</w:t>
      </w:r>
      <w:proofErr w:type="spellEnd"/>
      <w:r w:rsidRPr="00851C54">
        <w:rPr>
          <w:rFonts w:ascii="Arial" w:hAnsi="Arial" w:cs="Arial"/>
          <w:color w:val="000000"/>
          <w:sz w:val="18"/>
          <w:szCs w:val="18"/>
        </w:rPr>
        <w:t xml:space="preserve"> Polska, </w:t>
      </w:r>
      <w:r w:rsidR="006E1E2F">
        <w:rPr>
          <w:rFonts w:ascii="Arial" w:hAnsi="Arial" w:cs="Arial"/>
          <w:color w:val="000000"/>
          <w:sz w:val="18"/>
          <w:szCs w:val="18"/>
        </w:rPr>
        <w:t xml:space="preserve">Dębowa Polska, </w:t>
      </w:r>
      <w:r w:rsidRPr="00851C54">
        <w:rPr>
          <w:rFonts w:ascii="Arial" w:hAnsi="Arial" w:cs="Arial"/>
          <w:color w:val="000000"/>
          <w:sz w:val="18"/>
          <w:szCs w:val="18"/>
        </w:rPr>
        <w:t xml:space="preserve">Komers International, Mazurskie Miody, </w:t>
      </w:r>
      <w:r>
        <w:rPr>
          <w:rFonts w:ascii="Arial" w:hAnsi="Arial" w:cs="Arial"/>
          <w:color w:val="000000"/>
          <w:sz w:val="18"/>
          <w:szCs w:val="18"/>
        </w:rPr>
        <w:t xml:space="preserve">Pernod Ricard Polska, </w:t>
      </w:r>
      <w:r w:rsidRPr="00DC4EA7">
        <w:rPr>
          <w:rFonts w:ascii="Arial" w:hAnsi="Arial" w:cs="Arial"/>
          <w:color w:val="000000"/>
          <w:sz w:val="18"/>
          <w:szCs w:val="18"/>
        </w:rPr>
        <w:t>PHP Wiesław Wawrzyniak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851C54">
        <w:rPr>
          <w:rFonts w:ascii="Arial" w:hAnsi="Arial" w:cs="Arial"/>
          <w:color w:val="000000"/>
          <w:sz w:val="18"/>
          <w:szCs w:val="18"/>
        </w:rPr>
        <w:t xml:space="preserve"> Polmos Siedlce, Polmos Żyrardów, Polmos</w:t>
      </w:r>
      <w:r w:rsidR="00B15A5D">
        <w:rPr>
          <w:rFonts w:ascii="Arial" w:hAnsi="Arial" w:cs="Arial"/>
          <w:color w:val="000000"/>
          <w:sz w:val="18"/>
          <w:szCs w:val="18"/>
        </w:rPr>
        <w:t xml:space="preserve"> Warszawa, </w:t>
      </w:r>
      <w:r w:rsidRPr="00D13611">
        <w:rPr>
          <w:rFonts w:ascii="Arial" w:hAnsi="Arial" w:cs="Arial"/>
          <w:color w:val="000000"/>
          <w:sz w:val="18"/>
          <w:szCs w:val="18"/>
        </w:rPr>
        <w:t>PPUH Tłocznia Mau</w:t>
      </w:r>
      <w:r>
        <w:rPr>
          <w:rFonts w:ascii="Arial" w:hAnsi="Arial" w:cs="Arial"/>
          <w:color w:val="000000"/>
          <w:sz w:val="18"/>
          <w:szCs w:val="18"/>
        </w:rPr>
        <w:t>r</w:t>
      </w:r>
      <w:r w:rsidRPr="00D13611">
        <w:rPr>
          <w:rFonts w:ascii="Arial" w:hAnsi="Arial" w:cs="Arial"/>
          <w:color w:val="000000"/>
          <w:sz w:val="18"/>
          <w:szCs w:val="18"/>
        </w:rPr>
        <w:t>er</w:t>
      </w:r>
      <w:r>
        <w:rPr>
          <w:rFonts w:ascii="Arial" w:hAnsi="Arial" w:cs="Arial"/>
          <w:color w:val="000000"/>
          <w:sz w:val="18"/>
          <w:szCs w:val="18"/>
        </w:rPr>
        <w:t xml:space="preserve">, Stock Polska,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Vinpol</w:t>
      </w:r>
      <w:proofErr w:type="spellEnd"/>
      <w:r w:rsidRPr="00851C54">
        <w:rPr>
          <w:rFonts w:ascii="Arial" w:hAnsi="Arial" w:cs="Arial"/>
          <w:color w:val="000000"/>
          <w:sz w:val="18"/>
          <w:szCs w:val="18"/>
        </w:rPr>
        <w:t xml:space="preserve">. </w:t>
      </w:r>
    </w:p>
    <w:sectPr w:rsidR="009A5DAF" w:rsidRPr="00667815" w:rsidSect="00C62E03">
      <w:footerReference w:type="default" r:id="rId11"/>
      <w:type w:val="continuous"/>
      <w:pgSz w:w="11906" w:h="16838" w:code="9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000" w:rsidRDefault="00882000">
      <w:r>
        <w:separator/>
      </w:r>
    </w:p>
  </w:endnote>
  <w:endnote w:type="continuationSeparator" w:id="0">
    <w:p w:rsidR="00882000" w:rsidRDefault="00882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CDB" w:rsidRDefault="00AC3CDB" w:rsidP="00B43B7F"/>
  <w:p w:rsidR="00AC3CDB" w:rsidRPr="00BF6C6E" w:rsidRDefault="00AC3CDB" w:rsidP="00B43B7F">
    <w:pPr>
      <w:pBdr>
        <w:top w:val="single" w:sz="4" w:space="1" w:color="auto"/>
      </w:pBdr>
      <w:rPr>
        <w:color w:val="808080"/>
        <w:sz w:val="16"/>
        <w:szCs w:val="16"/>
      </w:rPr>
    </w:pPr>
    <w:r>
      <w:rPr>
        <w:sz w:val="16"/>
        <w:szCs w:val="16"/>
      </w:rPr>
      <w:t xml:space="preserve"> </w:t>
    </w:r>
  </w:p>
  <w:p w:rsidR="00AC3CDB" w:rsidRDefault="00AC3CDB" w:rsidP="00B43B7F">
    <w:pPr>
      <w:rPr>
        <w:color w:val="5F5F5F"/>
        <w:sz w:val="16"/>
      </w:rPr>
    </w:pPr>
    <w:r w:rsidRPr="007A55A7">
      <w:rPr>
        <w:color w:val="5F5F5F"/>
        <w:sz w:val="16"/>
      </w:rPr>
      <w:t xml:space="preserve">                                                                                          </w:t>
    </w:r>
    <w:r>
      <w:rPr>
        <w:color w:val="5F5F5F"/>
        <w:sz w:val="16"/>
      </w:rPr>
      <w:t xml:space="preserve">                                                                                        </w:t>
    </w:r>
    <w:r w:rsidRPr="007A55A7">
      <w:rPr>
        <w:color w:val="5F5F5F"/>
        <w:sz w:val="16"/>
      </w:rPr>
      <w:t xml:space="preserve">  </w:t>
    </w:r>
    <w:r>
      <w:rPr>
        <w:color w:val="5F5F5F"/>
        <w:sz w:val="16"/>
      </w:rPr>
      <w:t xml:space="preserve">                                     </w:t>
    </w:r>
  </w:p>
  <w:p w:rsidR="00AC3CDB" w:rsidRPr="005F38A4" w:rsidRDefault="00AC3CDB" w:rsidP="006116A2">
    <w:pPr>
      <w:rPr>
        <w:rFonts w:cs="Arial"/>
        <w:sz w:val="18"/>
        <w:szCs w:val="18"/>
      </w:rPr>
    </w:pPr>
    <w:r w:rsidRPr="005F38A4">
      <w:rPr>
        <w:rFonts w:cs="Arial"/>
        <w:sz w:val="18"/>
        <w:szCs w:val="18"/>
      </w:rPr>
      <w:t xml:space="preserve">KONTAKT: </w:t>
    </w:r>
  </w:p>
  <w:p w:rsidR="00AC3CDB" w:rsidRPr="005F38A4" w:rsidRDefault="00AC3CDB" w:rsidP="006116A2">
    <w:pPr>
      <w:rPr>
        <w:rFonts w:cs="Arial"/>
        <w:noProof/>
        <w:sz w:val="18"/>
        <w:szCs w:val="18"/>
        <w:lang w:eastAsia="pl-PL"/>
      </w:rPr>
    </w:pPr>
    <w:bookmarkStart w:id="0" w:name="_MailAutoSig"/>
    <w:r>
      <w:rPr>
        <w:rFonts w:cs="Arial"/>
        <w:noProof/>
        <w:sz w:val="18"/>
        <w:szCs w:val="18"/>
        <w:lang w:eastAsia="pl-PL"/>
      </w:rPr>
      <w:t>Iga Wasilewicz,</w:t>
    </w:r>
    <w:r w:rsidRPr="005F38A4">
      <w:rPr>
        <w:rFonts w:cs="Arial"/>
        <w:noProof/>
        <w:sz w:val="18"/>
        <w:szCs w:val="18"/>
        <w:lang w:eastAsia="pl-PL"/>
      </w:rPr>
      <w:t xml:space="preserve"> Związek Pracodawców Polski Przemysł Spirytusowy</w:t>
    </w:r>
  </w:p>
  <w:p w:rsidR="00AC3CDB" w:rsidRPr="005F38A4" w:rsidRDefault="00AC3CDB" w:rsidP="006116A2">
    <w:pPr>
      <w:rPr>
        <w:rFonts w:cs="Arial"/>
        <w:noProof/>
        <w:sz w:val="18"/>
        <w:szCs w:val="18"/>
        <w:lang w:val="en-US" w:eastAsia="pl-PL"/>
      </w:rPr>
    </w:pPr>
    <w:r>
      <w:rPr>
        <w:rFonts w:cs="Arial"/>
        <w:noProof/>
        <w:sz w:val="18"/>
        <w:szCs w:val="18"/>
        <w:lang w:val="en-US" w:eastAsia="pl-PL"/>
      </w:rPr>
      <w:t>tel. 22 630 98 87, e-mail: i.wasilewicz@</w:t>
    </w:r>
    <w:r w:rsidRPr="005F38A4">
      <w:rPr>
        <w:rFonts w:cs="Arial"/>
        <w:noProof/>
        <w:sz w:val="18"/>
        <w:szCs w:val="18"/>
        <w:lang w:val="en-US" w:eastAsia="pl-PL"/>
      </w:rPr>
      <w:t>pps.</w:t>
    </w:r>
    <w:r>
      <w:rPr>
        <w:rFonts w:cs="Arial"/>
        <w:noProof/>
        <w:sz w:val="18"/>
        <w:szCs w:val="18"/>
        <w:lang w:val="en-US" w:eastAsia="pl-PL"/>
      </w:rPr>
      <w:t>waw.</w:t>
    </w:r>
    <w:r w:rsidRPr="005F38A4">
      <w:rPr>
        <w:rFonts w:cs="Arial"/>
        <w:noProof/>
        <w:sz w:val="18"/>
        <w:szCs w:val="18"/>
        <w:lang w:val="en-US" w:eastAsia="pl-PL"/>
      </w:rPr>
      <w:t>pl</w:t>
    </w:r>
  </w:p>
  <w:p w:rsidR="00AC3CDB" w:rsidRPr="005F38A4" w:rsidRDefault="00AC3CDB" w:rsidP="006116A2">
    <w:pPr>
      <w:rPr>
        <w:rFonts w:cs="Arial"/>
        <w:noProof/>
        <w:sz w:val="18"/>
        <w:szCs w:val="18"/>
        <w:lang w:eastAsia="pl-PL"/>
      </w:rPr>
    </w:pPr>
    <w:r w:rsidRPr="005F38A4">
      <w:rPr>
        <w:rFonts w:cs="Arial"/>
        <w:noProof/>
        <w:sz w:val="18"/>
        <w:szCs w:val="18"/>
        <w:lang w:eastAsia="pl-PL"/>
      </w:rPr>
      <w:t>ul. Trębacka 4, lok. 338 – 342, 00-074 Warszawa</w:t>
    </w:r>
  </w:p>
  <w:p w:rsidR="00AC3CDB" w:rsidRPr="005F38A4" w:rsidRDefault="007C5BB6" w:rsidP="006116A2">
    <w:pPr>
      <w:rPr>
        <w:rFonts w:cs="Arial"/>
        <w:noProof/>
        <w:sz w:val="18"/>
        <w:szCs w:val="18"/>
        <w:lang w:eastAsia="pl-PL"/>
      </w:rPr>
    </w:pPr>
    <w:hyperlink r:id="rId1" w:history="1">
      <w:r w:rsidR="00AC3CDB" w:rsidRPr="005F38A4">
        <w:rPr>
          <w:rStyle w:val="Hipercze"/>
          <w:rFonts w:cs="Arial"/>
          <w:noProof/>
          <w:sz w:val="18"/>
          <w:szCs w:val="18"/>
          <w:lang w:eastAsia="pl-PL"/>
        </w:rPr>
        <w:t>www.pps.waw.pl</w:t>
      </w:r>
    </w:hyperlink>
    <w:r w:rsidR="00AC3CDB" w:rsidRPr="005F38A4">
      <w:rPr>
        <w:rFonts w:cs="Arial"/>
        <w:sz w:val="18"/>
        <w:szCs w:val="18"/>
      </w:rPr>
      <w:t xml:space="preserve"> </w:t>
    </w:r>
  </w:p>
  <w:bookmarkEnd w:id="0"/>
  <w:p w:rsidR="00AC3CDB" w:rsidRDefault="00AC3C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000" w:rsidRDefault="00882000">
      <w:r>
        <w:separator/>
      </w:r>
    </w:p>
  </w:footnote>
  <w:footnote w:type="continuationSeparator" w:id="0">
    <w:p w:rsidR="00882000" w:rsidRDefault="008820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27"/>
        </w:tabs>
        <w:ind w:left="1427" w:hanging="360"/>
      </w:pPr>
    </w:lvl>
    <w:lvl w:ilvl="2">
      <w:start w:val="1"/>
      <w:numFmt w:val="lowerLetter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lowerLetter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lowerLetter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lowerLetter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lowerLetter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lowerLetter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lowerLetter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13D17325"/>
    <w:multiLevelType w:val="hybridMultilevel"/>
    <w:tmpl w:val="EC7CD8F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3BE5A0E"/>
    <w:multiLevelType w:val="hybridMultilevel"/>
    <w:tmpl w:val="DA406D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7852FB"/>
    <w:multiLevelType w:val="hybridMultilevel"/>
    <w:tmpl w:val="684E06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180759"/>
    <w:multiLevelType w:val="hybridMultilevel"/>
    <w:tmpl w:val="432087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CB2AAE"/>
    <w:multiLevelType w:val="hybridMultilevel"/>
    <w:tmpl w:val="44921F2A"/>
    <w:lvl w:ilvl="0" w:tplc="D7AA0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CAF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A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227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BA3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44C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C0D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2B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72A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AA7785B"/>
    <w:multiLevelType w:val="hybridMultilevel"/>
    <w:tmpl w:val="3E90A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97114"/>
    <w:multiLevelType w:val="hybridMultilevel"/>
    <w:tmpl w:val="77C2D4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3B0489"/>
    <w:multiLevelType w:val="hybridMultilevel"/>
    <w:tmpl w:val="FA9A95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E06D1"/>
    <w:multiLevelType w:val="hybridMultilevel"/>
    <w:tmpl w:val="41D274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29798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55BF8"/>
    <w:rsid w:val="0000041A"/>
    <w:rsid w:val="00001A77"/>
    <w:rsid w:val="000025EA"/>
    <w:rsid w:val="000026BC"/>
    <w:rsid w:val="0001049F"/>
    <w:rsid w:val="00012A3A"/>
    <w:rsid w:val="00013EF7"/>
    <w:rsid w:val="00025864"/>
    <w:rsid w:val="000265A1"/>
    <w:rsid w:val="00032D0F"/>
    <w:rsid w:val="00037C38"/>
    <w:rsid w:val="00040F22"/>
    <w:rsid w:val="0004136D"/>
    <w:rsid w:val="000458F6"/>
    <w:rsid w:val="00045CBD"/>
    <w:rsid w:val="00046858"/>
    <w:rsid w:val="00055EBA"/>
    <w:rsid w:val="00057A32"/>
    <w:rsid w:val="00062194"/>
    <w:rsid w:val="00063222"/>
    <w:rsid w:val="0006326C"/>
    <w:rsid w:val="0006331D"/>
    <w:rsid w:val="000669AF"/>
    <w:rsid w:val="00066CA8"/>
    <w:rsid w:val="00077921"/>
    <w:rsid w:val="00077E9E"/>
    <w:rsid w:val="00080253"/>
    <w:rsid w:val="00080F56"/>
    <w:rsid w:val="00081872"/>
    <w:rsid w:val="000827EE"/>
    <w:rsid w:val="00087BE9"/>
    <w:rsid w:val="000901BE"/>
    <w:rsid w:val="000955ED"/>
    <w:rsid w:val="000971D4"/>
    <w:rsid w:val="000A5360"/>
    <w:rsid w:val="000A691A"/>
    <w:rsid w:val="000B503B"/>
    <w:rsid w:val="000C0767"/>
    <w:rsid w:val="000C15BC"/>
    <w:rsid w:val="000C162A"/>
    <w:rsid w:val="000C195B"/>
    <w:rsid w:val="000C45BA"/>
    <w:rsid w:val="000D18D7"/>
    <w:rsid w:val="000D42DE"/>
    <w:rsid w:val="000E0D0D"/>
    <w:rsid w:val="000E5D36"/>
    <w:rsid w:val="000E629D"/>
    <w:rsid w:val="000E6D4E"/>
    <w:rsid w:val="000F09F4"/>
    <w:rsid w:val="000F2F65"/>
    <w:rsid w:val="000F6537"/>
    <w:rsid w:val="000F6987"/>
    <w:rsid w:val="000F6FD8"/>
    <w:rsid w:val="0010395A"/>
    <w:rsid w:val="001055FC"/>
    <w:rsid w:val="0010652C"/>
    <w:rsid w:val="001067E6"/>
    <w:rsid w:val="00114DA1"/>
    <w:rsid w:val="001171E0"/>
    <w:rsid w:val="00120CEA"/>
    <w:rsid w:val="001241FC"/>
    <w:rsid w:val="001259F3"/>
    <w:rsid w:val="00126A2A"/>
    <w:rsid w:val="00126CDF"/>
    <w:rsid w:val="0013504A"/>
    <w:rsid w:val="00135D65"/>
    <w:rsid w:val="00135DD1"/>
    <w:rsid w:val="001548DD"/>
    <w:rsid w:val="00165A3B"/>
    <w:rsid w:val="00167C9C"/>
    <w:rsid w:val="00170E3D"/>
    <w:rsid w:val="00174E20"/>
    <w:rsid w:val="00182229"/>
    <w:rsid w:val="001879B9"/>
    <w:rsid w:val="0019003E"/>
    <w:rsid w:val="001912B9"/>
    <w:rsid w:val="00192BD7"/>
    <w:rsid w:val="00193301"/>
    <w:rsid w:val="001941CF"/>
    <w:rsid w:val="00196525"/>
    <w:rsid w:val="0019666E"/>
    <w:rsid w:val="00196986"/>
    <w:rsid w:val="00196A74"/>
    <w:rsid w:val="001A19F4"/>
    <w:rsid w:val="001A5D94"/>
    <w:rsid w:val="001B1D78"/>
    <w:rsid w:val="001B259A"/>
    <w:rsid w:val="001B26EA"/>
    <w:rsid w:val="001B46BF"/>
    <w:rsid w:val="001B4D10"/>
    <w:rsid w:val="001B541E"/>
    <w:rsid w:val="001B59E6"/>
    <w:rsid w:val="001B614C"/>
    <w:rsid w:val="001C2E3C"/>
    <w:rsid w:val="001C716F"/>
    <w:rsid w:val="001C7620"/>
    <w:rsid w:val="001D0333"/>
    <w:rsid w:val="001D2C88"/>
    <w:rsid w:val="001D733F"/>
    <w:rsid w:val="001E00B9"/>
    <w:rsid w:val="001E1851"/>
    <w:rsid w:val="001E61EB"/>
    <w:rsid w:val="001E6654"/>
    <w:rsid w:val="001E6F2D"/>
    <w:rsid w:val="001E74AF"/>
    <w:rsid w:val="001F3B98"/>
    <w:rsid w:val="001F5623"/>
    <w:rsid w:val="001F57E5"/>
    <w:rsid w:val="001F7330"/>
    <w:rsid w:val="00202BD9"/>
    <w:rsid w:val="00202F47"/>
    <w:rsid w:val="00204C05"/>
    <w:rsid w:val="00207650"/>
    <w:rsid w:val="00213D18"/>
    <w:rsid w:val="00217684"/>
    <w:rsid w:val="00220117"/>
    <w:rsid w:val="00222791"/>
    <w:rsid w:val="00225B5E"/>
    <w:rsid w:val="00226734"/>
    <w:rsid w:val="00230614"/>
    <w:rsid w:val="002328F7"/>
    <w:rsid w:val="00233D20"/>
    <w:rsid w:val="00234A91"/>
    <w:rsid w:val="00237807"/>
    <w:rsid w:val="002403B3"/>
    <w:rsid w:val="0024213B"/>
    <w:rsid w:val="00245422"/>
    <w:rsid w:val="002479B6"/>
    <w:rsid w:val="00255FF6"/>
    <w:rsid w:val="00256CCE"/>
    <w:rsid w:val="002573D7"/>
    <w:rsid w:val="0026062B"/>
    <w:rsid w:val="00271FCF"/>
    <w:rsid w:val="002765ED"/>
    <w:rsid w:val="00276837"/>
    <w:rsid w:val="00276D0B"/>
    <w:rsid w:val="0027720C"/>
    <w:rsid w:val="002779D6"/>
    <w:rsid w:val="00280238"/>
    <w:rsid w:val="00280E75"/>
    <w:rsid w:val="0028187B"/>
    <w:rsid w:val="00283277"/>
    <w:rsid w:val="00283FC9"/>
    <w:rsid w:val="002842ED"/>
    <w:rsid w:val="00290EB4"/>
    <w:rsid w:val="0029101F"/>
    <w:rsid w:val="00294A8D"/>
    <w:rsid w:val="002956B7"/>
    <w:rsid w:val="002A2D47"/>
    <w:rsid w:val="002A4E40"/>
    <w:rsid w:val="002A4E89"/>
    <w:rsid w:val="002A6C2E"/>
    <w:rsid w:val="002B1CB8"/>
    <w:rsid w:val="002B265B"/>
    <w:rsid w:val="002C6247"/>
    <w:rsid w:val="002D3658"/>
    <w:rsid w:val="002D5FE0"/>
    <w:rsid w:val="002D6176"/>
    <w:rsid w:val="002D7957"/>
    <w:rsid w:val="002E1B91"/>
    <w:rsid w:val="002E255D"/>
    <w:rsid w:val="002E4CBA"/>
    <w:rsid w:val="002F47BF"/>
    <w:rsid w:val="002F509D"/>
    <w:rsid w:val="002F5A7A"/>
    <w:rsid w:val="002F5D02"/>
    <w:rsid w:val="0030212C"/>
    <w:rsid w:val="00302DBC"/>
    <w:rsid w:val="00304633"/>
    <w:rsid w:val="00306533"/>
    <w:rsid w:val="00311AA9"/>
    <w:rsid w:val="00313414"/>
    <w:rsid w:val="00313A2B"/>
    <w:rsid w:val="00314AFE"/>
    <w:rsid w:val="0031687B"/>
    <w:rsid w:val="00321033"/>
    <w:rsid w:val="00321BF9"/>
    <w:rsid w:val="00322AA6"/>
    <w:rsid w:val="003238D2"/>
    <w:rsid w:val="00325E46"/>
    <w:rsid w:val="0032671A"/>
    <w:rsid w:val="00326734"/>
    <w:rsid w:val="003340E8"/>
    <w:rsid w:val="00343994"/>
    <w:rsid w:val="00346658"/>
    <w:rsid w:val="003467F3"/>
    <w:rsid w:val="00347C18"/>
    <w:rsid w:val="00351AFD"/>
    <w:rsid w:val="00352BFC"/>
    <w:rsid w:val="00355124"/>
    <w:rsid w:val="00356B0D"/>
    <w:rsid w:val="00356C9B"/>
    <w:rsid w:val="00357835"/>
    <w:rsid w:val="00362B39"/>
    <w:rsid w:val="00374AFE"/>
    <w:rsid w:val="0037662C"/>
    <w:rsid w:val="00377245"/>
    <w:rsid w:val="00377360"/>
    <w:rsid w:val="00377956"/>
    <w:rsid w:val="00381028"/>
    <w:rsid w:val="00383783"/>
    <w:rsid w:val="00387113"/>
    <w:rsid w:val="00387F23"/>
    <w:rsid w:val="00394BCE"/>
    <w:rsid w:val="00396F95"/>
    <w:rsid w:val="0039775F"/>
    <w:rsid w:val="003A159C"/>
    <w:rsid w:val="003A3B1A"/>
    <w:rsid w:val="003A757F"/>
    <w:rsid w:val="003B26FF"/>
    <w:rsid w:val="003B325D"/>
    <w:rsid w:val="003B3277"/>
    <w:rsid w:val="003B333C"/>
    <w:rsid w:val="003B4A73"/>
    <w:rsid w:val="003B4C36"/>
    <w:rsid w:val="003B4F18"/>
    <w:rsid w:val="003C0A4D"/>
    <w:rsid w:val="003C12C2"/>
    <w:rsid w:val="003C2A34"/>
    <w:rsid w:val="003C4CDA"/>
    <w:rsid w:val="003C6750"/>
    <w:rsid w:val="003D756F"/>
    <w:rsid w:val="003E1F19"/>
    <w:rsid w:val="003E4C6D"/>
    <w:rsid w:val="003E548C"/>
    <w:rsid w:val="003E7CC7"/>
    <w:rsid w:val="003F0FCF"/>
    <w:rsid w:val="00401F4A"/>
    <w:rsid w:val="0040212D"/>
    <w:rsid w:val="0040406D"/>
    <w:rsid w:val="0041363D"/>
    <w:rsid w:val="004145C1"/>
    <w:rsid w:val="00416819"/>
    <w:rsid w:val="00422AD6"/>
    <w:rsid w:val="00422B5A"/>
    <w:rsid w:val="00424C59"/>
    <w:rsid w:val="0043007C"/>
    <w:rsid w:val="00430E86"/>
    <w:rsid w:val="004334A5"/>
    <w:rsid w:val="00434212"/>
    <w:rsid w:val="00434DE5"/>
    <w:rsid w:val="0043540E"/>
    <w:rsid w:val="00441B7E"/>
    <w:rsid w:val="00445651"/>
    <w:rsid w:val="0045088C"/>
    <w:rsid w:val="00453A24"/>
    <w:rsid w:val="00454508"/>
    <w:rsid w:val="004545C9"/>
    <w:rsid w:val="0045660A"/>
    <w:rsid w:val="00457CC9"/>
    <w:rsid w:val="004612BF"/>
    <w:rsid w:val="004617DB"/>
    <w:rsid w:val="00463C82"/>
    <w:rsid w:val="00463EE7"/>
    <w:rsid w:val="00464924"/>
    <w:rsid w:val="00465468"/>
    <w:rsid w:val="00467F6C"/>
    <w:rsid w:val="00474467"/>
    <w:rsid w:val="004744AB"/>
    <w:rsid w:val="004831D6"/>
    <w:rsid w:val="00485516"/>
    <w:rsid w:val="00490E92"/>
    <w:rsid w:val="00497475"/>
    <w:rsid w:val="00497AD4"/>
    <w:rsid w:val="004A402C"/>
    <w:rsid w:val="004B05B5"/>
    <w:rsid w:val="004B2E9F"/>
    <w:rsid w:val="004B33F9"/>
    <w:rsid w:val="004C09EA"/>
    <w:rsid w:val="004C0DED"/>
    <w:rsid w:val="004C0E4E"/>
    <w:rsid w:val="004D33D9"/>
    <w:rsid w:val="004D3E32"/>
    <w:rsid w:val="004D5992"/>
    <w:rsid w:val="004D75BD"/>
    <w:rsid w:val="004E5789"/>
    <w:rsid w:val="004E69E4"/>
    <w:rsid w:val="004F0BB9"/>
    <w:rsid w:val="004F2C1A"/>
    <w:rsid w:val="005007F7"/>
    <w:rsid w:val="00500C7D"/>
    <w:rsid w:val="00501EC3"/>
    <w:rsid w:val="00502F44"/>
    <w:rsid w:val="00503414"/>
    <w:rsid w:val="005055F9"/>
    <w:rsid w:val="00506B7C"/>
    <w:rsid w:val="0050760F"/>
    <w:rsid w:val="00510060"/>
    <w:rsid w:val="00513EC6"/>
    <w:rsid w:val="00514BEB"/>
    <w:rsid w:val="005163CE"/>
    <w:rsid w:val="00520242"/>
    <w:rsid w:val="00520385"/>
    <w:rsid w:val="00520620"/>
    <w:rsid w:val="00521E8C"/>
    <w:rsid w:val="0052278B"/>
    <w:rsid w:val="00522E80"/>
    <w:rsid w:val="005259FE"/>
    <w:rsid w:val="005265B0"/>
    <w:rsid w:val="005273BD"/>
    <w:rsid w:val="005273DC"/>
    <w:rsid w:val="00532D51"/>
    <w:rsid w:val="0053406B"/>
    <w:rsid w:val="00534083"/>
    <w:rsid w:val="00534E55"/>
    <w:rsid w:val="00536BA9"/>
    <w:rsid w:val="00542C1D"/>
    <w:rsid w:val="0054410A"/>
    <w:rsid w:val="00546B09"/>
    <w:rsid w:val="005542B0"/>
    <w:rsid w:val="00555237"/>
    <w:rsid w:val="0055726C"/>
    <w:rsid w:val="00562389"/>
    <w:rsid w:val="005636A4"/>
    <w:rsid w:val="00567D5D"/>
    <w:rsid w:val="005723FD"/>
    <w:rsid w:val="00572FAD"/>
    <w:rsid w:val="0057315C"/>
    <w:rsid w:val="00573BA1"/>
    <w:rsid w:val="00587D4E"/>
    <w:rsid w:val="00592BE2"/>
    <w:rsid w:val="00594790"/>
    <w:rsid w:val="00595F62"/>
    <w:rsid w:val="005A012B"/>
    <w:rsid w:val="005A080C"/>
    <w:rsid w:val="005A3F06"/>
    <w:rsid w:val="005A61DF"/>
    <w:rsid w:val="005B1913"/>
    <w:rsid w:val="005B393A"/>
    <w:rsid w:val="005C1967"/>
    <w:rsid w:val="005C1DF7"/>
    <w:rsid w:val="005C37F2"/>
    <w:rsid w:val="005C77B9"/>
    <w:rsid w:val="005D2B6C"/>
    <w:rsid w:val="005D2E75"/>
    <w:rsid w:val="005D4146"/>
    <w:rsid w:val="005D56A9"/>
    <w:rsid w:val="005D5CC1"/>
    <w:rsid w:val="005E124D"/>
    <w:rsid w:val="005E17C4"/>
    <w:rsid w:val="005F0DC4"/>
    <w:rsid w:val="005F2AA8"/>
    <w:rsid w:val="005F2FE1"/>
    <w:rsid w:val="005F38A4"/>
    <w:rsid w:val="005F3920"/>
    <w:rsid w:val="005F3A56"/>
    <w:rsid w:val="005F50A4"/>
    <w:rsid w:val="005F5FE8"/>
    <w:rsid w:val="005F76C9"/>
    <w:rsid w:val="00601C97"/>
    <w:rsid w:val="00601D76"/>
    <w:rsid w:val="006116A2"/>
    <w:rsid w:val="00611DEE"/>
    <w:rsid w:val="00614216"/>
    <w:rsid w:val="0061632A"/>
    <w:rsid w:val="00616F68"/>
    <w:rsid w:val="00624EFF"/>
    <w:rsid w:val="0062752B"/>
    <w:rsid w:val="0063110B"/>
    <w:rsid w:val="0064206E"/>
    <w:rsid w:val="006420A0"/>
    <w:rsid w:val="00643EF4"/>
    <w:rsid w:val="00645EAF"/>
    <w:rsid w:val="00646141"/>
    <w:rsid w:val="00650342"/>
    <w:rsid w:val="00652947"/>
    <w:rsid w:val="00662D5C"/>
    <w:rsid w:val="00667815"/>
    <w:rsid w:val="00667AA4"/>
    <w:rsid w:val="00670981"/>
    <w:rsid w:val="0067143C"/>
    <w:rsid w:val="00671988"/>
    <w:rsid w:val="00673F84"/>
    <w:rsid w:val="006759F2"/>
    <w:rsid w:val="00680FA7"/>
    <w:rsid w:val="00684EDD"/>
    <w:rsid w:val="0068572E"/>
    <w:rsid w:val="006870B7"/>
    <w:rsid w:val="00694C33"/>
    <w:rsid w:val="006A3554"/>
    <w:rsid w:val="006A5A13"/>
    <w:rsid w:val="006A6734"/>
    <w:rsid w:val="006B0E32"/>
    <w:rsid w:val="006B10D5"/>
    <w:rsid w:val="006B6226"/>
    <w:rsid w:val="006C14B4"/>
    <w:rsid w:val="006C56D2"/>
    <w:rsid w:val="006C59F9"/>
    <w:rsid w:val="006D103E"/>
    <w:rsid w:val="006D370D"/>
    <w:rsid w:val="006D4FC7"/>
    <w:rsid w:val="006D677A"/>
    <w:rsid w:val="006E0619"/>
    <w:rsid w:val="006E1E2F"/>
    <w:rsid w:val="006E67F9"/>
    <w:rsid w:val="006E6AFC"/>
    <w:rsid w:val="006E7AC9"/>
    <w:rsid w:val="006F1503"/>
    <w:rsid w:val="006F5AC0"/>
    <w:rsid w:val="006F5E3F"/>
    <w:rsid w:val="006F6F92"/>
    <w:rsid w:val="007040D2"/>
    <w:rsid w:val="00706458"/>
    <w:rsid w:val="00707B02"/>
    <w:rsid w:val="00707CD9"/>
    <w:rsid w:val="007139AC"/>
    <w:rsid w:val="0071449F"/>
    <w:rsid w:val="00714664"/>
    <w:rsid w:val="007170B3"/>
    <w:rsid w:val="0072112E"/>
    <w:rsid w:val="007238A3"/>
    <w:rsid w:val="007261FA"/>
    <w:rsid w:val="00730A6D"/>
    <w:rsid w:val="00731F45"/>
    <w:rsid w:val="0073412E"/>
    <w:rsid w:val="0073417D"/>
    <w:rsid w:val="00734474"/>
    <w:rsid w:val="00735943"/>
    <w:rsid w:val="00736088"/>
    <w:rsid w:val="00737415"/>
    <w:rsid w:val="00742487"/>
    <w:rsid w:val="00744B57"/>
    <w:rsid w:val="00744DC5"/>
    <w:rsid w:val="00745693"/>
    <w:rsid w:val="00747E53"/>
    <w:rsid w:val="00750084"/>
    <w:rsid w:val="0075725F"/>
    <w:rsid w:val="00765B7C"/>
    <w:rsid w:val="00767528"/>
    <w:rsid w:val="00770EBB"/>
    <w:rsid w:val="00776BA0"/>
    <w:rsid w:val="00780C2B"/>
    <w:rsid w:val="00781DB9"/>
    <w:rsid w:val="007822DF"/>
    <w:rsid w:val="00784B88"/>
    <w:rsid w:val="00784DD8"/>
    <w:rsid w:val="0079189B"/>
    <w:rsid w:val="0079670B"/>
    <w:rsid w:val="007A2BBA"/>
    <w:rsid w:val="007A333A"/>
    <w:rsid w:val="007B06D1"/>
    <w:rsid w:val="007B5372"/>
    <w:rsid w:val="007C2E49"/>
    <w:rsid w:val="007C45E9"/>
    <w:rsid w:val="007C4D53"/>
    <w:rsid w:val="007C5BB6"/>
    <w:rsid w:val="007D0CB3"/>
    <w:rsid w:val="007D2368"/>
    <w:rsid w:val="007D53D7"/>
    <w:rsid w:val="007E6DCD"/>
    <w:rsid w:val="007F0A2E"/>
    <w:rsid w:val="007F1A0C"/>
    <w:rsid w:val="007F3FA1"/>
    <w:rsid w:val="00800ED1"/>
    <w:rsid w:val="0080118F"/>
    <w:rsid w:val="00802110"/>
    <w:rsid w:val="00803878"/>
    <w:rsid w:val="0080536A"/>
    <w:rsid w:val="00807E99"/>
    <w:rsid w:val="00815238"/>
    <w:rsid w:val="00816DFA"/>
    <w:rsid w:val="00832100"/>
    <w:rsid w:val="008335BB"/>
    <w:rsid w:val="008342F7"/>
    <w:rsid w:val="00834798"/>
    <w:rsid w:val="00835BD5"/>
    <w:rsid w:val="008425BF"/>
    <w:rsid w:val="0084514E"/>
    <w:rsid w:val="0084729C"/>
    <w:rsid w:val="008512DB"/>
    <w:rsid w:val="00852217"/>
    <w:rsid w:val="00853E0F"/>
    <w:rsid w:val="0085618A"/>
    <w:rsid w:val="0086115E"/>
    <w:rsid w:val="00873EC3"/>
    <w:rsid w:val="00876C1D"/>
    <w:rsid w:val="00881347"/>
    <w:rsid w:val="00882000"/>
    <w:rsid w:val="00884ACE"/>
    <w:rsid w:val="008877E3"/>
    <w:rsid w:val="00891AA7"/>
    <w:rsid w:val="00894545"/>
    <w:rsid w:val="008978E9"/>
    <w:rsid w:val="008A0108"/>
    <w:rsid w:val="008A20AB"/>
    <w:rsid w:val="008A4F49"/>
    <w:rsid w:val="008A5F0B"/>
    <w:rsid w:val="008A751D"/>
    <w:rsid w:val="008B3F8F"/>
    <w:rsid w:val="008C7399"/>
    <w:rsid w:val="008D27FF"/>
    <w:rsid w:val="008D422D"/>
    <w:rsid w:val="008D4A27"/>
    <w:rsid w:val="008D5F05"/>
    <w:rsid w:val="008E2D60"/>
    <w:rsid w:val="008E4ECA"/>
    <w:rsid w:val="008E6495"/>
    <w:rsid w:val="008E6E32"/>
    <w:rsid w:val="008E7156"/>
    <w:rsid w:val="008F0AA8"/>
    <w:rsid w:val="008F185A"/>
    <w:rsid w:val="008F3A50"/>
    <w:rsid w:val="008F3AE3"/>
    <w:rsid w:val="008F67A5"/>
    <w:rsid w:val="008F7A84"/>
    <w:rsid w:val="00902E9E"/>
    <w:rsid w:val="009036FE"/>
    <w:rsid w:val="00910414"/>
    <w:rsid w:val="00911897"/>
    <w:rsid w:val="00913A4E"/>
    <w:rsid w:val="00913F5A"/>
    <w:rsid w:val="00923DED"/>
    <w:rsid w:val="009247FD"/>
    <w:rsid w:val="00924CA2"/>
    <w:rsid w:val="00927D87"/>
    <w:rsid w:val="00937565"/>
    <w:rsid w:val="00937D4C"/>
    <w:rsid w:val="00943595"/>
    <w:rsid w:val="00950D24"/>
    <w:rsid w:val="00961E47"/>
    <w:rsid w:val="009707F8"/>
    <w:rsid w:val="00976CF0"/>
    <w:rsid w:val="0098049C"/>
    <w:rsid w:val="009810A8"/>
    <w:rsid w:val="0098275B"/>
    <w:rsid w:val="009846F8"/>
    <w:rsid w:val="0098567D"/>
    <w:rsid w:val="00992E21"/>
    <w:rsid w:val="00993896"/>
    <w:rsid w:val="009959AC"/>
    <w:rsid w:val="00997067"/>
    <w:rsid w:val="009A12E0"/>
    <w:rsid w:val="009A4B51"/>
    <w:rsid w:val="009A5DAF"/>
    <w:rsid w:val="009B015E"/>
    <w:rsid w:val="009B1C88"/>
    <w:rsid w:val="009B3736"/>
    <w:rsid w:val="009B3892"/>
    <w:rsid w:val="009B3E90"/>
    <w:rsid w:val="009C5957"/>
    <w:rsid w:val="009C6172"/>
    <w:rsid w:val="009C718D"/>
    <w:rsid w:val="009D0FFC"/>
    <w:rsid w:val="009D1BA7"/>
    <w:rsid w:val="009D5C40"/>
    <w:rsid w:val="009D6F59"/>
    <w:rsid w:val="009D77B9"/>
    <w:rsid w:val="009D7F95"/>
    <w:rsid w:val="009E0A00"/>
    <w:rsid w:val="009E175E"/>
    <w:rsid w:val="009E1901"/>
    <w:rsid w:val="009E1B0D"/>
    <w:rsid w:val="009E7B40"/>
    <w:rsid w:val="009F290A"/>
    <w:rsid w:val="009F4159"/>
    <w:rsid w:val="009F75D6"/>
    <w:rsid w:val="00A00C41"/>
    <w:rsid w:val="00A01057"/>
    <w:rsid w:val="00A02541"/>
    <w:rsid w:val="00A02E83"/>
    <w:rsid w:val="00A104DF"/>
    <w:rsid w:val="00A12D88"/>
    <w:rsid w:val="00A139D6"/>
    <w:rsid w:val="00A22716"/>
    <w:rsid w:val="00A22982"/>
    <w:rsid w:val="00A32DEA"/>
    <w:rsid w:val="00A33C36"/>
    <w:rsid w:val="00A34486"/>
    <w:rsid w:val="00A34CB0"/>
    <w:rsid w:val="00A35F2F"/>
    <w:rsid w:val="00A451DF"/>
    <w:rsid w:val="00A45691"/>
    <w:rsid w:val="00A45DA6"/>
    <w:rsid w:val="00A46FA6"/>
    <w:rsid w:val="00A47101"/>
    <w:rsid w:val="00A47189"/>
    <w:rsid w:val="00A475D6"/>
    <w:rsid w:val="00A47977"/>
    <w:rsid w:val="00A54898"/>
    <w:rsid w:val="00A559D9"/>
    <w:rsid w:val="00A567B2"/>
    <w:rsid w:val="00A62C22"/>
    <w:rsid w:val="00A73AB5"/>
    <w:rsid w:val="00A73D7D"/>
    <w:rsid w:val="00A75952"/>
    <w:rsid w:val="00A75CF5"/>
    <w:rsid w:val="00A8071C"/>
    <w:rsid w:val="00A820C0"/>
    <w:rsid w:val="00A847B7"/>
    <w:rsid w:val="00A87C46"/>
    <w:rsid w:val="00A909E1"/>
    <w:rsid w:val="00A90E69"/>
    <w:rsid w:val="00A96684"/>
    <w:rsid w:val="00A97B8D"/>
    <w:rsid w:val="00AA12BD"/>
    <w:rsid w:val="00AB5DB0"/>
    <w:rsid w:val="00AC02D9"/>
    <w:rsid w:val="00AC1B93"/>
    <w:rsid w:val="00AC1C77"/>
    <w:rsid w:val="00AC3CDB"/>
    <w:rsid w:val="00AC58CD"/>
    <w:rsid w:val="00AC5B45"/>
    <w:rsid w:val="00AD22FE"/>
    <w:rsid w:val="00AD2D7E"/>
    <w:rsid w:val="00AE53C2"/>
    <w:rsid w:val="00AE749B"/>
    <w:rsid w:val="00AF1F1E"/>
    <w:rsid w:val="00AF23A0"/>
    <w:rsid w:val="00AF398C"/>
    <w:rsid w:val="00B00C67"/>
    <w:rsid w:val="00B02423"/>
    <w:rsid w:val="00B135FF"/>
    <w:rsid w:val="00B14237"/>
    <w:rsid w:val="00B15A5D"/>
    <w:rsid w:val="00B15B3F"/>
    <w:rsid w:val="00B1665E"/>
    <w:rsid w:val="00B23581"/>
    <w:rsid w:val="00B374E8"/>
    <w:rsid w:val="00B37DFC"/>
    <w:rsid w:val="00B4116E"/>
    <w:rsid w:val="00B43B7F"/>
    <w:rsid w:val="00B43F57"/>
    <w:rsid w:val="00B44051"/>
    <w:rsid w:val="00B50FFF"/>
    <w:rsid w:val="00B52D34"/>
    <w:rsid w:val="00B5451E"/>
    <w:rsid w:val="00B54893"/>
    <w:rsid w:val="00B55BF8"/>
    <w:rsid w:val="00B60656"/>
    <w:rsid w:val="00B6140D"/>
    <w:rsid w:val="00B62FAA"/>
    <w:rsid w:val="00B65C32"/>
    <w:rsid w:val="00B66759"/>
    <w:rsid w:val="00B676F3"/>
    <w:rsid w:val="00B72AFF"/>
    <w:rsid w:val="00B73872"/>
    <w:rsid w:val="00B75A47"/>
    <w:rsid w:val="00B77493"/>
    <w:rsid w:val="00B8038C"/>
    <w:rsid w:val="00B83F15"/>
    <w:rsid w:val="00B84B09"/>
    <w:rsid w:val="00B94B40"/>
    <w:rsid w:val="00BA429C"/>
    <w:rsid w:val="00BA48D4"/>
    <w:rsid w:val="00BA6CA6"/>
    <w:rsid w:val="00BB1ACE"/>
    <w:rsid w:val="00BB404B"/>
    <w:rsid w:val="00BC3DB3"/>
    <w:rsid w:val="00BC7013"/>
    <w:rsid w:val="00BD0BF1"/>
    <w:rsid w:val="00BD3CCA"/>
    <w:rsid w:val="00BD4AB9"/>
    <w:rsid w:val="00BD6071"/>
    <w:rsid w:val="00BD664D"/>
    <w:rsid w:val="00BD667B"/>
    <w:rsid w:val="00BD6CF2"/>
    <w:rsid w:val="00BE6A44"/>
    <w:rsid w:val="00BF2AA7"/>
    <w:rsid w:val="00BF3E3B"/>
    <w:rsid w:val="00BF483B"/>
    <w:rsid w:val="00BF6C6E"/>
    <w:rsid w:val="00C00129"/>
    <w:rsid w:val="00C00985"/>
    <w:rsid w:val="00C054CD"/>
    <w:rsid w:val="00C070C7"/>
    <w:rsid w:val="00C07280"/>
    <w:rsid w:val="00C1016C"/>
    <w:rsid w:val="00C10517"/>
    <w:rsid w:val="00C114AD"/>
    <w:rsid w:val="00C2085A"/>
    <w:rsid w:val="00C219AF"/>
    <w:rsid w:val="00C21A0C"/>
    <w:rsid w:val="00C21AF6"/>
    <w:rsid w:val="00C25385"/>
    <w:rsid w:val="00C2570B"/>
    <w:rsid w:val="00C25832"/>
    <w:rsid w:val="00C30271"/>
    <w:rsid w:val="00C306DB"/>
    <w:rsid w:val="00C34B16"/>
    <w:rsid w:val="00C36B27"/>
    <w:rsid w:val="00C37118"/>
    <w:rsid w:val="00C408EA"/>
    <w:rsid w:val="00C41580"/>
    <w:rsid w:val="00C434C2"/>
    <w:rsid w:val="00C43A9A"/>
    <w:rsid w:val="00C51A62"/>
    <w:rsid w:val="00C5374D"/>
    <w:rsid w:val="00C54D09"/>
    <w:rsid w:val="00C5697B"/>
    <w:rsid w:val="00C57A1E"/>
    <w:rsid w:val="00C60C11"/>
    <w:rsid w:val="00C61005"/>
    <w:rsid w:val="00C61997"/>
    <w:rsid w:val="00C62BD4"/>
    <w:rsid w:val="00C62E03"/>
    <w:rsid w:val="00C63694"/>
    <w:rsid w:val="00C7108C"/>
    <w:rsid w:val="00C719A3"/>
    <w:rsid w:val="00C72E55"/>
    <w:rsid w:val="00C749D1"/>
    <w:rsid w:val="00C77B92"/>
    <w:rsid w:val="00C8155B"/>
    <w:rsid w:val="00C830A1"/>
    <w:rsid w:val="00C907AC"/>
    <w:rsid w:val="00C90C7D"/>
    <w:rsid w:val="00C94AFF"/>
    <w:rsid w:val="00C97A0D"/>
    <w:rsid w:val="00CA19B9"/>
    <w:rsid w:val="00CA3961"/>
    <w:rsid w:val="00CA492F"/>
    <w:rsid w:val="00CB587A"/>
    <w:rsid w:val="00CC11B5"/>
    <w:rsid w:val="00CC1EB8"/>
    <w:rsid w:val="00CC21D9"/>
    <w:rsid w:val="00CC4987"/>
    <w:rsid w:val="00CD1078"/>
    <w:rsid w:val="00CD54F9"/>
    <w:rsid w:val="00CD5E3D"/>
    <w:rsid w:val="00CD5F3C"/>
    <w:rsid w:val="00CE0F93"/>
    <w:rsid w:val="00CE1AF0"/>
    <w:rsid w:val="00CE3CAA"/>
    <w:rsid w:val="00CE6145"/>
    <w:rsid w:val="00CF063C"/>
    <w:rsid w:val="00CF2B99"/>
    <w:rsid w:val="00D02737"/>
    <w:rsid w:val="00D02A7C"/>
    <w:rsid w:val="00D06383"/>
    <w:rsid w:val="00D13611"/>
    <w:rsid w:val="00D1438E"/>
    <w:rsid w:val="00D149B4"/>
    <w:rsid w:val="00D17992"/>
    <w:rsid w:val="00D207F5"/>
    <w:rsid w:val="00D21CBA"/>
    <w:rsid w:val="00D3107B"/>
    <w:rsid w:val="00D40EA1"/>
    <w:rsid w:val="00D41FE9"/>
    <w:rsid w:val="00D55E76"/>
    <w:rsid w:val="00D574A0"/>
    <w:rsid w:val="00D61FCF"/>
    <w:rsid w:val="00D631DE"/>
    <w:rsid w:val="00D652DA"/>
    <w:rsid w:val="00D66035"/>
    <w:rsid w:val="00D67D39"/>
    <w:rsid w:val="00D71FEA"/>
    <w:rsid w:val="00D7316F"/>
    <w:rsid w:val="00D73D28"/>
    <w:rsid w:val="00D7520E"/>
    <w:rsid w:val="00D75AAD"/>
    <w:rsid w:val="00D7760C"/>
    <w:rsid w:val="00D81887"/>
    <w:rsid w:val="00D81A44"/>
    <w:rsid w:val="00D90A90"/>
    <w:rsid w:val="00D90B12"/>
    <w:rsid w:val="00D90F32"/>
    <w:rsid w:val="00D913D8"/>
    <w:rsid w:val="00D9373A"/>
    <w:rsid w:val="00DA3074"/>
    <w:rsid w:val="00DA40ED"/>
    <w:rsid w:val="00DA51D5"/>
    <w:rsid w:val="00DB36BB"/>
    <w:rsid w:val="00DB6541"/>
    <w:rsid w:val="00DB6DAC"/>
    <w:rsid w:val="00DC0143"/>
    <w:rsid w:val="00DC707C"/>
    <w:rsid w:val="00DD3E2F"/>
    <w:rsid w:val="00DD4546"/>
    <w:rsid w:val="00DE1F2F"/>
    <w:rsid w:val="00DE6E1D"/>
    <w:rsid w:val="00DE7BC4"/>
    <w:rsid w:val="00DF239A"/>
    <w:rsid w:val="00DF2B65"/>
    <w:rsid w:val="00DF5804"/>
    <w:rsid w:val="00E008F8"/>
    <w:rsid w:val="00E05EAD"/>
    <w:rsid w:val="00E065C7"/>
    <w:rsid w:val="00E06FA0"/>
    <w:rsid w:val="00E07B80"/>
    <w:rsid w:val="00E10C98"/>
    <w:rsid w:val="00E120CF"/>
    <w:rsid w:val="00E12C8A"/>
    <w:rsid w:val="00E12CB0"/>
    <w:rsid w:val="00E15441"/>
    <w:rsid w:val="00E17343"/>
    <w:rsid w:val="00E24601"/>
    <w:rsid w:val="00E361E1"/>
    <w:rsid w:val="00E4033C"/>
    <w:rsid w:val="00E428BA"/>
    <w:rsid w:val="00E42D90"/>
    <w:rsid w:val="00E42EC4"/>
    <w:rsid w:val="00E438BF"/>
    <w:rsid w:val="00E44917"/>
    <w:rsid w:val="00E4507E"/>
    <w:rsid w:val="00E50F85"/>
    <w:rsid w:val="00E51C12"/>
    <w:rsid w:val="00E526BE"/>
    <w:rsid w:val="00E5548B"/>
    <w:rsid w:val="00E555F1"/>
    <w:rsid w:val="00E55D0B"/>
    <w:rsid w:val="00E56A21"/>
    <w:rsid w:val="00E574CC"/>
    <w:rsid w:val="00E57C50"/>
    <w:rsid w:val="00E63B88"/>
    <w:rsid w:val="00E674BE"/>
    <w:rsid w:val="00E67F41"/>
    <w:rsid w:val="00E733DB"/>
    <w:rsid w:val="00E734BC"/>
    <w:rsid w:val="00E76470"/>
    <w:rsid w:val="00E84087"/>
    <w:rsid w:val="00E8450B"/>
    <w:rsid w:val="00E84E79"/>
    <w:rsid w:val="00E86A0C"/>
    <w:rsid w:val="00E87A6F"/>
    <w:rsid w:val="00E918E6"/>
    <w:rsid w:val="00E96228"/>
    <w:rsid w:val="00EA0117"/>
    <w:rsid w:val="00EB0800"/>
    <w:rsid w:val="00EB1F4E"/>
    <w:rsid w:val="00EB2506"/>
    <w:rsid w:val="00EB432C"/>
    <w:rsid w:val="00EB4645"/>
    <w:rsid w:val="00EB6200"/>
    <w:rsid w:val="00EC0301"/>
    <w:rsid w:val="00EC2B17"/>
    <w:rsid w:val="00EC50B0"/>
    <w:rsid w:val="00ED02D6"/>
    <w:rsid w:val="00ED13F9"/>
    <w:rsid w:val="00ED2180"/>
    <w:rsid w:val="00ED3314"/>
    <w:rsid w:val="00EE018E"/>
    <w:rsid w:val="00EF4D8C"/>
    <w:rsid w:val="00EF61E4"/>
    <w:rsid w:val="00F02195"/>
    <w:rsid w:val="00F02A06"/>
    <w:rsid w:val="00F05E29"/>
    <w:rsid w:val="00F12E72"/>
    <w:rsid w:val="00F2304C"/>
    <w:rsid w:val="00F325CD"/>
    <w:rsid w:val="00F355F8"/>
    <w:rsid w:val="00F42245"/>
    <w:rsid w:val="00F42943"/>
    <w:rsid w:val="00F46162"/>
    <w:rsid w:val="00F510A2"/>
    <w:rsid w:val="00F5123D"/>
    <w:rsid w:val="00F52BAF"/>
    <w:rsid w:val="00F536D7"/>
    <w:rsid w:val="00F54B4C"/>
    <w:rsid w:val="00F611DF"/>
    <w:rsid w:val="00F62709"/>
    <w:rsid w:val="00F66E04"/>
    <w:rsid w:val="00F670F2"/>
    <w:rsid w:val="00F70ABF"/>
    <w:rsid w:val="00F7409C"/>
    <w:rsid w:val="00F74E0D"/>
    <w:rsid w:val="00F7596C"/>
    <w:rsid w:val="00F84B79"/>
    <w:rsid w:val="00F86C05"/>
    <w:rsid w:val="00F874A4"/>
    <w:rsid w:val="00F95963"/>
    <w:rsid w:val="00F95B90"/>
    <w:rsid w:val="00F97C39"/>
    <w:rsid w:val="00FA0EC6"/>
    <w:rsid w:val="00FA22E1"/>
    <w:rsid w:val="00FA480F"/>
    <w:rsid w:val="00FA69E3"/>
    <w:rsid w:val="00FB50F5"/>
    <w:rsid w:val="00FB5CE5"/>
    <w:rsid w:val="00FC314E"/>
    <w:rsid w:val="00FC4FDA"/>
    <w:rsid w:val="00FC5890"/>
    <w:rsid w:val="00FC6EF2"/>
    <w:rsid w:val="00FD1112"/>
    <w:rsid w:val="00FD251C"/>
    <w:rsid w:val="00FD263F"/>
    <w:rsid w:val="00FD442E"/>
    <w:rsid w:val="00FD5030"/>
    <w:rsid w:val="00FD76B7"/>
    <w:rsid w:val="00FE1168"/>
    <w:rsid w:val="00FE3CC4"/>
    <w:rsid w:val="00FE6238"/>
    <w:rsid w:val="00FF1E8D"/>
    <w:rsid w:val="00FF4ED0"/>
    <w:rsid w:val="00FF5773"/>
    <w:rsid w:val="00FF72FB"/>
    <w:rsid w:val="00FF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79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55BF8"/>
    <w:pPr>
      <w:suppressAutoHyphens/>
      <w:overflowPunct w:val="0"/>
      <w:autoSpaceDE w:val="0"/>
    </w:pPr>
    <w:rPr>
      <w:rFonts w:ascii="Arial" w:hAnsi="Arial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43B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43B7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1665E"/>
    <w:pPr>
      <w:widowControl w:val="0"/>
      <w:overflowPunct/>
      <w:autoSpaceDE/>
      <w:spacing w:after="120"/>
    </w:pPr>
    <w:rPr>
      <w:rFonts w:ascii="Times New Roman" w:eastAsia="Arial Unicode MS" w:hAnsi="Times New Roman"/>
      <w:szCs w:val="24"/>
    </w:rPr>
  </w:style>
  <w:style w:type="paragraph" w:customStyle="1" w:styleId="Styl1">
    <w:name w:val="Styl1"/>
    <w:basedOn w:val="Tekstpodstawowy"/>
    <w:rsid w:val="00853E0F"/>
    <w:pPr>
      <w:widowControl/>
      <w:jc w:val="center"/>
    </w:pPr>
    <w:rPr>
      <w:rFonts w:eastAsia="Times New Roman"/>
    </w:rPr>
  </w:style>
  <w:style w:type="character" w:styleId="Hipercze">
    <w:name w:val="Hyperlink"/>
    <w:basedOn w:val="Domylnaczcionkaakapitu"/>
    <w:uiPriority w:val="99"/>
    <w:unhideWhenUsed/>
    <w:rsid w:val="006116A2"/>
    <w:rPr>
      <w:strike w:val="0"/>
      <w:dstrike w:val="0"/>
      <w:color w:val="7D7D7D"/>
      <w:u w:val="none"/>
      <w:effect w:val="none"/>
    </w:rPr>
  </w:style>
  <w:style w:type="table" w:styleId="Jasnecieniowanieakcent5">
    <w:name w:val="Light Shading Accent 5"/>
    <w:basedOn w:val="Standardowy"/>
    <w:uiPriority w:val="60"/>
    <w:rsid w:val="00FF1E8D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Jasnecieniowanieakcent11">
    <w:name w:val="Jasne cieniowanie — akcent 11"/>
    <w:basedOn w:val="Standardowy"/>
    <w:uiPriority w:val="60"/>
    <w:rsid w:val="00FF1E8D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Jasnecieniowanie1">
    <w:name w:val="Jasne cieniowanie1"/>
    <w:basedOn w:val="Standardowy"/>
    <w:uiPriority w:val="60"/>
    <w:rsid w:val="00FF1E8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nyWeb">
    <w:name w:val="Normal (Web)"/>
    <w:basedOn w:val="Normalny"/>
    <w:unhideWhenUsed/>
    <w:rsid w:val="00FF1E8D"/>
    <w:pPr>
      <w:suppressAutoHyphens w:val="0"/>
      <w:overflowPunct/>
      <w:autoSpaceDE/>
      <w:spacing w:before="100" w:beforeAutospacing="1" w:after="100" w:afterAutospacing="1"/>
    </w:pPr>
    <w:rPr>
      <w:rFonts w:ascii="Times New Roman" w:hAnsi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1E8D"/>
    <w:rPr>
      <w:b/>
      <w:bCs/>
    </w:rPr>
  </w:style>
  <w:style w:type="table" w:customStyle="1" w:styleId="Jasnasiatkaakcent11">
    <w:name w:val="Jasna siatka — akcent 11"/>
    <w:basedOn w:val="Standardowy"/>
    <w:uiPriority w:val="62"/>
    <w:rsid w:val="003B4F1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3B4F1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rsid w:val="005034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3414"/>
    <w:rPr>
      <w:rFonts w:ascii="Tahoma" w:hAnsi="Tahoma" w:cs="Tahoma"/>
      <w:sz w:val="16"/>
      <w:szCs w:val="16"/>
      <w:lang w:eastAsia="ar-SA"/>
    </w:rPr>
  </w:style>
  <w:style w:type="table" w:styleId="Tabela-Kolumnowy3">
    <w:name w:val="Table Columns 3"/>
    <w:basedOn w:val="Standardowy"/>
    <w:rsid w:val="00E574CC"/>
    <w:pPr>
      <w:suppressAutoHyphens/>
      <w:overflowPunct w:val="0"/>
      <w:autoSpaceDE w:val="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basedOn w:val="Domylnaczcionkaakapitu"/>
    <w:rsid w:val="00080F5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80F5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080F56"/>
    <w:rPr>
      <w:rFonts w:ascii="Arial" w:hAnsi="Arial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080F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80F56"/>
    <w:rPr>
      <w:b/>
      <w:bCs/>
    </w:rPr>
  </w:style>
  <w:style w:type="paragraph" w:styleId="Tekstprzypisudolnego">
    <w:name w:val="footnote text"/>
    <w:basedOn w:val="Normalny"/>
    <w:link w:val="TekstprzypisudolnegoZnak"/>
    <w:rsid w:val="00C2583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5832"/>
    <w:rPr>
      <w:rFonts w:ascii="Arial" w:hAnsi="Arial"/>
      <w:lang w:eastAsia="ar-SA"/>
    </w:rPr>
  </w:style>
  <w:style w:type="character" w:styleId="Odwoanieprzypisudolnego">
    <w:name w:val="footnote reference"/>
    <w:basedOn w:val="Domylnaczcionkaakapitu"/>
    <w:rsid w:val="00C25832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75F"/>
    <w:pPr>
      <w:ind w:left="720"/>
      <w:contextualSpacing/>
    </w:p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0955ED"/>
    <w:rPr>
      <w:rFonts w:ascii="Times" w:hAnsi="Times" w:cs="Times"/>
    </w:rPr>
  </w:style>
  <w:style w:type="paragraph" w:customStyle="1" w:styleId="ARTartustawynprozporzdzenia">
    <w:name w:val="ART(§) – art. ustawy (§ np. rozporządzenia)"/>
    <w:basedOn w:val="Normalny"/>
    <w:link w:val="ARTartustawynprozporzdzeniaZnak"/>
    <w:uiPriority w:val="14"/>
    <w:rsid w:val="000955ED"/>
    <w:pPr>
      <w:suppressAutoHyphens w:val="0"/>
      <w:overflowPunct/>
      <w:autoSpaceDN w:val="0"/>
      <w:spacing w:before="120" w:line="360" w:lineRule="auto"/>
      <w:ind w:firstLine="510"/>
      <w:jc w:val="both"/>
    </w:pPr>
    <w:rPr>
      <w:rFonts w:ascii="Times" w:hAnsi="Times" w:cs="Times"/>
      <w:sz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2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4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2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2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6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ps.waw.pl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asia\AppData\Local\Microsoft\Windows\Temporary%20Internet%20Files\Content.Outlook\4QM3HTRZ\Chart%20LAtam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100" b="1"/>
              <a:t>Eksport napojów spirytusowych z UE do Ameryki Środkowej</a:t>
            </a:r>
            <a:endParaRPr lang="pl-PL" sz="110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Eurostat!$A$47</c:f>
              <c:strCache>
                <c:ptCount val="1"/>
                <c:pt idx="0">
                  <c:v>COSTA RICA</c:v>
                </c:pt>
              </c:strCache>
            </c:strRef>
          </c:tx>
          <c:marker>
            <c:symbol val="none"/>
          </c:marker>
          <c:cat>
            <c:numRef>
              <c:f>Eurostat!$B$46:$L$46</c:f>
              <c:numCache>
                <c:formatCode>General</c:formatCode>
                <c:ptCount val="11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</c:numCache>
            </c:numRef>
          </c:cat>
          <c:val>
            <c:numRef>
              <c:f>Eurostat!$B$47:$L$47</c:f>
              <c:numCache>
                <c:formatCode>0</c:formatCode>
                <c:ptCount val="11"/>
                <c:pt idx="0">
                  <c:v>434987</c:v>
                </c:pt>
                <c:pt idx="1">
                  <c:v>237857</c:v>
                </c:pt>
                <c:pt idx="2">
                  <c:v>310362</c:v>
                </c:pt>
                <c:pt idx="3">
                  <c:v>104836</c:v>
                </c:pt>
                <c:pt idx="4">
                  <c:v>206601</c:v>
                </c:pt>
                <c:pt idx="5">
                  <c:v>267386</c:v>
                </c:pt>
                <c:pt idx="6">
                  <c:v>226450</c:v>
                </c:pt>
                <c:pt idx="7">
                  <c:v>278814</c:v>
                </c:pt>
                <c:pt idx="8">
                  <c:v>663610</c:v>
                </c:pt>
                <c:pt idx="9">
                  <c:v>411768</c:v>
                </c:pt>
                <c:pt idx="10">
                  <c:v>555060</c:v>
                </c:pt>
              </c:numCache>
            </c:numRef>
          </c:val>
        </c:ser>
        <c:ser>
          <c:idx val="1"/>
          <c:order val="1"/>
          <c:tx>
            <c:strRef>
              <c:f>Eurostat!$A$48</c:f>
              <c:strCache>
                <c:ptCount val="1"/>
                <c:pt idx="0">
                  <c:v>HONDURAS</c:v>
                </c:pt>
              </c:strCache>
            </c:strRef>
          </c:tx>
          <c:marker>
            <c:symbol val="none"/>
          </c:marker>
          <c:cat>
            <c:numRef>
              <c:f>Eurostat!$B$46:$L$46</c:f>
              <c:numCache>
                <c:formatCode>General</c:formatCode>
                <c:ptCount val="11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</c:numCache>
            </c:numRef>
          </c:cat>
          <c:val>
            <c:numRef>
              <c:f>Eurostat!$B$48:$L$48</c:f>
              <c:numCache>
                <c:formatCode>0</c:formatCode>
                <c:ptCount val="11"/>
                <c:pt idx="0">
                  <c:v>187551</c:v>
                </c:pt>
                <c:pt idx="1">
                  <c:v>273213</c:v>
                </c:pt>
                <c:pt idx="2">
                  <c:v>214326</c:v>
                </c:pt>
                <c:pt idx="3">
                  <c:v>317784</c:v>
                </c:pt>
                <c:pt idx="4">
                  <c:v>235086</c:v>
                </c:pt>
                <c:pt idx="5">
                  <c:v>474142</c:v>
                </c:pt>
                <c:pt idx="6">
                  <c:v>562828</c:v>
                </c:pt>
                <c:pt idx="7">
                  <c:v>716579</c:v>
                </c:pt>
                <c:pt idx="8">
                  <c:v>505482</c:v>
                </c:pt>
                <c:pt idx="9">
                  <c:v>666301</c:v>
                </c:pt>
                <c:pt idx="10">
                  <c:v>667421</c:v>
                </c:pt>
              </c:numCache>
            </c:numRef>
          </c:val>
        </c:ser>
        <c:ser>
          <c:idx val="2"/>
          <c:order val="2"/>
          <c:tx>
            <c:strRef>
              <c:f>Eurostat!$A$49</c:f>
              <c:strCache>
                <c:ptCount val="1"/>
                <c:pt idx="0">
                  <c:v>EL SALVADOR</c:v>
                </c:pt>
              </c:strCache>
            </c:strRef>
          </c:tx>
          <c:marker>
            <c:symbol val="none"/>
          </c:marker>
          <c:cat>
            <c:numRef>
              <c:f>Eurostat!$B$46:$L$46</c:f>
              <c:numCache>
                <c:formatCode>General</c:formatCode>
                <c:ptCount val="11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</c:numCache>
            </c:numRef>
          </c:cat>
          <c:val>
            <c:numRef>
              <c:f>Eurostat!$B$49:$L$49</c:f>
              <c:numCache>
                <c:formatCode>0</c:formatCode>
                <c:ptCount val="11"/>
                <c:pt idx="0">
                  <c:v>214429</c:v>
                </c:pt>
                <c:pt idx="1">
                  <c:v>390422</c:v>
                </c:pt>
                <c:pt idx="2">
                  <c:v>358961</c:v>
                </c:pt>
                <c:pt idx="3">
                  <c:v>565881</c:v>
                </c:pt>
                <c:pt idx="4">
                  <c:v>771556</c:v>
                </c:pt>
                <c:pt idx="5">
                  <c:v>589583</c:v>
                </c:pt>
                <c:pt idx="6">
                  <c:v>1111218</c:v>
                </c:pt>
                <c:pt idx="7">
                  <c:v>436522</c:v>
                </c:pt>
                <c:pt idx="8">
                  <c:v>386055</c:v>
                </c:pt>
                <c:pt idx="9">
                  <c:v>450501</c:v>
                </c:pt>
                <c:pt idx="10">
                  <c:v>448954</c:v>
                </c:pt>
              </c:numCache>
            </c:numRef>
          </c:val>
        </c:ser>
        <c:marker val="1"/>
        <c:axId val="48086016"/>
        <c:axId val="48162688"/>
      </c:lineChart>
      <c:catAx>
        <c:axId val="48086016"/>
        <c:scaling>
          <c:orientation val="minMax"/>
        </c:scaling>
        <c:axPos val="b"/>
        <c:numFmt formatCode="General" sourceLinked="1"/>
        <c:majorTickMark val="none"/>
        <c:tickLblPos val="nextTo"/>
        <c:crossAx val="48162688"/>
        <c:crosses val="autoZero"/>
        <c:auto val="1"/>
        <c:lblAlgn val="ctr"/>
        <c:lblOffset val="100"/>
      </c:catAx>
      <c:valAx>
        <c:axId val="4816268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800" b="0"/>
                </a:pPr>
                <a:r>
                  <a:rPr lang="pl-PL" sz="800" b="0"/>
                  <a:t>wartość eksportu w euro</a:t>
                </a:r>
              </a:p>
            </c:rich>
          </c:tx>
        </c:title>
        <c:numFmt formatCode="0" sourceLinked="1"/>
        <c:majorTickMark val="none"/>
        <c:tickLblPos val="nextTo"/>
        <c:crossAx val="48086016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81767-0642-47A9-A27D-AB8596EE8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717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SIT Spoż. Krajowa Rada Przetwórstwa Spirytusu</Company>
  <LinksUpToDate>false</LinksUpToDate>
  <CharactersWithSpaces>5011</CharactersWithSpaces>
  <SharedDoc>false</SharedDoc>
  <HLinks>
    <vt:vector size="6" baseType="variant">
      <vt:variant>
        <vt:i4>7798829</vt:i4>
      </vt:variant>
      <vt:variant>
        <vt:i4>0</vt:i4>
      </vt:variant>
      <vt:variant>
        <vt:i4>0</vt:i4>
      </vt:variant>
      <vt:variant>
        <vt:i4>5</vt:i4>
      </vt:variant>
      <vt:variant>
        <vt:lpwstr>http://www.pps.waw.pl/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Tomasik</dc:creator>
  <cp:lastModifiedBy>Iga Wasilewicz</cp:lastModifiedBy>
  <cp:revision>9</cp:revision>
  <cp:lastPrinted>2014-07-18T08:36:00Z</cp:lastPrinted>
  <dcterms:created xsi:type="dcterms:W3CDTF">2014-08-22T11:53:00Z</dcterms:created>
  <dcterms:modified xsi:type="dcterms:W3CDTF">2014-09-04T12:30:00Z</dcterms:modified>
</cp:coreProperties>
</file>