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2D4BFB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-112395</wp:posOffset>
            </wp:positionV>
            <wp:extent cx="1236980" cy="1247775"/>
            <wp:effectExtent l="19050" t="0" r="1270" b="0"/>
            <wp:wrapSquare wrapText="bothSides"/>
            <wp:docPr id="1" name="irc_mi" descr="http://www.wsb.edu.pl/container/Agenda%20Polska-Wsch%C3%B3d/18_5_5_1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sb.edu.pl/container/Agenda%20Polska-Wsch%C3%B3d/18_5_5_1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35" t="10468" r="23467" b="1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49C"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E733D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FA6373">
        <w:rPr>
          <w:rFonts w:cs="Arial"/>
          <w:color w:val="808080"/>
          <w:sz w:val="20"/>
        </w:rPr>
        <w:t>1</w:t>
      </w:r>
      <w:r w:rsidR="001F3074">
        <w:rPr>
          <w:rFonts w:cs="Arial"/>
          <w:color w:val="808080"/>
          <w:sz w:val="20"/>
        </w:rPr>
        <w:t>6</w:t>
      </w:r>
      <w:r w:rsidR="000D42DE">
        <w:rPr>
          <w:rFonts w:cs="Arial"/>
          <w:color w:val="808080"/>
          <w:sz w:val="20"/>
        </w:rPr>
        <w:t xml:space="preserve"> </w:t>
      </w:r>
      <w:r w:rsidR="004B3565">
        <w:rPr>
          <w:rFonts w:cs="Arial"/>
          <w:color w:val="808080"/>
          <w:sz w:val="20"/>
        </w:rPr>
        <w:t>grud</w:t>
      </w:r>
      <w:r w:rsidR="000D42DE">
        <w:rPr>
          <w:rFonts w:cs="Arial"/>
          <w:color w:val="808080"/>
          <w:sz w:val="20"/>
        </w:rPr>
        <w:t>nia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767528">
        <w:rPr>
          <w:rFonts w:cs="Arial"/>
          <w:color w:val="808080"/>
          <w:sz w:val="20"/>
        </w:rPr>
        <w:t>4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5723FD" w:rsidRDefault="004B3565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Na podwyżce akcyzy straciły małe sklepy</w:t>
      </w:r>
    </w:p>
    <w:p w:rsidR="00AC3CDB" w:rsidRPr="005723FD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12D88" w:rsidRPr="005723FD" w:rsidRDefault="008A47C0" w:rsidP="007E6DCD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Podwyżka o 15% podatku akcyzowego na mocne alkohole, która weszła w styczniu br. wprowadziła duże zawirowanie na rynku</w:t>
      </w:r>
      <w:r w:rsidR="007C5538">
        <w:rPr>
          <w:rFonts w:cs="Arial"/>
          <w:b/>
          <w:color w:val="000000"/>
          <w:sz w:val="20"/>
          <w:szCs w:val="22"/>
        </w:rPr>
        <w:t xml:space="preserve"> wyrobów spirytusowych. </w:t>
      </w:r>
      <w:r w:rsidR="00964F59">
        <w:rPr>
          <w:rFonts w:cs="Arial"/>
          <w:b/>
          <w:color w:val="000000"/>
          <w:sz w:val="20"/>
          <w:szCs w:val="22"/>
        </w:rPr>
        <w:t>Kilkuprocentowe spadki sprzedaży odbiły się nie tylko na producentach</w:t>
      </w:r>
      <w:r w:rsidR="0020504C">
        <w:rPr>
          <w:rFonts w:cs="Arial"/>
          <w:b/>
          <w:color w:val="000000"/>
          <w:sz w:val="20"/>
          <w:szCs w:val="22"/>
        </w:rPr>
        <w:t>, ale także na sektorze handlu</w:t>
      </w:r>
      <w:r w:rsidR="003A164B">
        <w:rPr>
          <w:rFonts w:cs="Arial"/>
          <w:b/>
          <w:color w:val="000000"/>
          <w:sz w:val="20"/>
          <w:szCs w:val="22"/>
        </w:rPr>
        <w:t xml:space="preserve"> i dystrybucji</w:t>
      </w:r>
      <w:r w:rsidR="0020504C">
        <w:rPr>
          <w:rFonts w:cs="Arial"/>
          <w:b/>
          <w:color w:val="000000"/>
          <w:sz w:val="20"/>
          <w:szCs w:val="22"/>
        </w:rPr>
        <w:t>.</w:t>
      </w:r>
      <w:r w:rsidR="00964F59">
        <w:rPr>
          <w:rFonts w:cs="Arial"/>
          <w:b/>
          <w:color w:val="000000"/>
          <w:sz w:val="20"/>
          <w:szCs w:val="22"/>
        </w:rPr>
        <w:t xml:space="preserve"> </w:t>
      </w:r>
      <w:r w:rsidR="00FA6373">
        <w:rPr>
          <w:rFonts w:cs="Arial"/>
          <w:b/>
          <w:color w:val="000000"/>
          <w:sz w:val="20"/>
          <w:szCs w:val="22"/>
        </w:rPr>
        <w:t>Największy, bo ponad</w:t>
      </w:r>
      <w:r w:rsidR="007C5538">
        <w:rPr>
          <w:rFonts w:cs="Arial"/>
          <w:b/>
          <w:color w:val="000000"/>
          <w:sz w:val="20"/>
          <w:szCs w:val="22"/>
        </w:rPr>
        <w:t xml:space="preserve"> 1</w:t>
      </w:r>
      <w:r w:rsidR="00FA6373">
        <w:rPr>
          <w:rFonts w:cs="Arial"/>
          <w:b/>
          <w:color w:val="000000"/>
          <w:sz w:val="20"/>
          <w:szCs w:val="22"/>
        </w:rPr>
        <w:t>0</w:t>
      </w:r>
      <w:r w:rsidR="007C5538">
        <w:rPr>
          <w:rFonts w:cs="Arial"/>
          <w:b/>
          <w:color w:val="000000"/>
          <w:sz w:val="20"/>
          <w:szCs w:val="22"/>
        </w:rPr>
        <w:t xml:space="preserve">% </w:t>
      </w:r>
      <w:r w:rsidR="00964F59">
        <w:rPr>
          <w:rFonts w:cs="Arial"/>
          <w:b/>
          <w:color w:val="000000"/>
          <w:sz w:val="20"/>
          <w:szCs w:val="22"/>
        </w:rPr>
        <w:t xml:space="preserve">wolumenowy </w:t>
      </w:r>
      <w:r w:rsidR="007C5538">
        <w:rPr>
          <w:rFonts w:cs="Arial"/>
          <w:b/>
          <w:color w:val="000000"/>
          <w:sz w:val="20"/>
          <w:szCs w:val="22"/>
        </w:rPr>
        <w:t>spadek sprzedaży za</w:t>
      </w:r>
      <w:r w:rsidR="00964F59">
        <w:rPr>
          <w:rFonts w:cs="Arial"/>
          <w:b/>
          <w:color w:val="000000"/>
          <w:sz w:val="20"/>
          <w:szCs w:val="22"/>
        </w:rPr>
        <w:t xml:space="preserve">notowały sklepy małoformatowe. To duży cios dla właścicieli małych sklepów, bo alkohole są w nich jednym z najważniejszych źródeł przychodu. </w:t>
      </w:r>
      <w:r w:rsidR="002F615B">
        <w:rPr>
          <w:rFonts w:cs="Arial"/>
          <w:b/>
          <w:color w:val="000000"/>
          <w:sz w:val="20"/>
          <w:szCs w:val="22"/>
        </w:rPr>
        <w:t xml:space="preserve">Jeżeli nie utrzymają się na rynku pracę może stracić od kilku do kilkunastu tysięcy osób. </w:t>
      </w:r>
      <w:r w:rsidR="00964F59">
        <w:rPr>
          <w:rFonts w:cs="Arial"/>
          <w:b/>
          <w:color w:val="000000"/>
          <w:sz w:val="20"/>
          <w:szCs w:val="22"/>
        </w:rPr>
        <w:t xml:space="preserve">W nowej sytuacji najlepiej poradziły sobie dyskonty, których udział w kanałach sprzedaży sukcesywnie rośnie. </w:t>
      </w:r>
    </w:p>
    <w:p w:rsidR="004B3565" w:rsidRDefault="004B3565" w:rsidP="0010652C">
      <w:pPr>
        <w:jc w:val="both"/>
        <w:rPr>
          <w:rFonts w:cs="Arial"/>
          <w:color w:val="000000"/>
          <w:sz w:val="20"/>
        </w:rPr>
      </w:pPr>
    </w:p>
    <w:p w:rsidR="004B3565" w:rsidRPr="008C0C99" w:rsidRDefault="004C0D6C" w:rsidP="0010652C">
      <w:pPr>
        <w:jc w:val="both"/>
        <w:rPr>
          <w:rFonts w:cs="Arial"/>
          <w:b/>
          <w:color w:val="000000"/>
          <w:sz w:val="20"/>
        </w:rPr>
      </w:pPr>
      <w:r w:rsidRPr="004C0D6C">
        <w:rPr>
          <w:rFonts w:cs="Arial"/>
          <w:i/>
          <w:color w:val="000000"/>
          <w:sz w:val="20"/>
        </w:rPr>
        <w:t>„</w:t>
      </w:r>
      <w:r w:rsidR="003A164B">
        <w:rPr>
          <w:rFonts w:cs="Arial"/>
          <w:i/>
          <w:color w:val="000000"/>
          <w:sz w:val="20"/>
        </w:rPr>
        <w:t xml:space="preserve">Spodziewaliśmy się, że tak wysoka podwyżka akcyzy wpłynie negatywnie na sytuację </w:t>
      </w:r>
      <w:r w:rsidR="005535A0">
        <w:rPr>
          <w:rFonts w:cs="Arial"/>
          <w:i/>
          <w:color w:val="000000"/>
          <w:sz w:val="20"/>
        </w:rPr>
        <w:t>w całym łańcuchu dostaw</w:t>
      </w:r>
      <w:r w:rsidR="003A164B">
        <w:rPr>
          <w:rFonts w:cs="Arial"/>
          <w:i/>
          <w:color w:val="000000"/>
          <w:sz w:val="20"/>
        </w:rPr>
        <w:t xml:space="preserve">. Podwyżki cen wymuszone wyższym podatkiem </w:t>
      </w:r>
      <w:r w:rsidR="008C0C99">
        <w:rPr>
          <w:rFonts w:cs="Arial"/>
          <w:i/>
          <w:color w:val="000000"/>
          <w:sz w:val="20"/>
        </w:rPr>
        <w:t>wpłynęły na mniejszą sprzedaż i przesunięcia w ramach kanałów sprzedaży</w:t>
      </w:r>
      <w:r w:rsidR="003A164B">
        <w:rPr>
          <w:rFonts w:cs="Arial"/>
          <w:i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- komentuje </w:t>
      </w:r>
      <w:r w:rsidRPr="008C0C99">
        <w:rPr>
          <w:rFonts w:cs="Arial"/>
          <w:b/>
          <w:color w:val="000000"/>
          <w:sz w:val="20"/>
        </w:rPr>
        <w:t xml:space="preserve">Leszek Wiwała, Prezes Związku Pracodawców Polski Przemysł Spirytusowy. </w:t>
      </w:r>
      <w:r w:rsidR="008C0C99" w:rsidRPr="008C0C99">
        <w:rPr>
          <w:rFonts w:cs="Arial"/>
          <w:i/>
          <w:color w:val="000000"/>
          <w:sz w:val="20"/>
        </w:rPr>
        <w:t>Potwierdza to tezę, że polski konsument jest wciąż</w:t>
      </w:r>
      <w:r w:rsidR="008C0C99">
        <w:rPr>
          <w:rFonts w:cs="Arial"/>
          <w:b/>
          <w:color w:val="000000"/>
          <w:sz w:val="20"/>
        </w:rPr>
        <w:t xml:space="preserve"> </w:t>
      </w:r>
      <w:r w:rsidR="008C0C99" w:rsidRPr="008C0C99">
        <w:rPr>
          <w:rFonts w:cs="Arial"/>
          <w:i/>
          <w:color w:val="000000"/>
          <w:sz w:val="20"/>
        </w:rPr>
        <w:t>bardzo wrażliwy</w:t>
      </w:r>
      <w:r w:rsidR="00F6078A">
        <w:rPr>
          <w:rFonts w:cs="Arial"/>
          <w:i/>
          <w:color w:val="000000"/>
          <w:sz w:val="20"/>
        </w:rPr>
        <w:t xml:space="preserve"> </w:t>
      </w:r>
      <w:r w:rsidR="008C0C99" w:rsidRPr="008C0C99">
        <w:rPr>
          <w:rFonts w:cs="Arial"/>
          <w:i/>
          <w:color w:val="000000"/>
          <w:sz w:val="20"/>
        </w:rPr>
        <w:t>na cenę produktu.</w:t>
      </w:r>
    </w:p>
    <w:p w:rsidR="004B3565" w:rsidRDefault="004B3565" w:rsidP="0010652C">
      <w:pPr>
        <w:jc w:val="both"/>
        <w:rPr>
          <w:rFonts w:cs="Arial"/>
          <w:color w:val="000000"/>
          <w:sz w:val="20"/>
        </w:rPr>
      </w:pPr>
    </w:p>
    <w:p w:rsidR="008403E8" w:rsidRPr="002D4BFB" w:rsidRDefault="00FA6373" w:rsidP="008C0C99">
      <w:pPr>
        <w:jc w:val="both"/>
        <w:rPr>
          <w:rFonts w:cs="Arial"/>
          <w:i/>
          <w:color w:val="000000"/>
          <w:sz w:val="20"/>
        </w:rPr>
      </w:pPr>
      <w:r w:rsidRPr="00FA6373">
        <w:rPr>
          <w:rFonts w:cs="Arial"/>
          <w:b/>
          <w:color w:val="000000"/>
          <w:sz w:val="20"/>
        </w:rPr>
        <w:t xml:space="preserve">Maciej Ptaszyński, Dyrektor Generalny Polskiej Izby Handlu </w:t>
      </w:r>
      <w:r w:rsidRPr="00FA6373">
        <w:rPr>
          <w:rFonts w:cs="Arial"/>
          <w:color w:val="000000"/>
          <w:sz w:val="20"/>
        </w:rPr>
        <w:t xml:space="preserve">dodaje: </w:t>
      </w:r>
      <w:r w:rsidRPr="00FA6373">
        <w:rPr>
          <w:rFonts w:cs="Arial"/>
          <w:i/>
          <w:color w:val="000000"/>
          <w:sz w:val="20"/>
        </w:rPr>
        <w:t>Załamanie na rynku mocnych alkoholi uderza zawsze w małe i średnie sklepy, które pozostają na</w:t>
      </w:r>
      <w:r>
        <w:rPr>
          <w:rFonts w:cs="Arial"/>
          <w:i/>
          <w:color w:val="000000"/>
          <w:sz w:val="20"/>
        </w:rPr>
        <w:t xml:space="preserve">jważniejszym kanałem sprzedaży. </w:t>
      </w:r>
      <w:r w:rsidRPr="00FA6373">
        <w:rPr>
          <w:rFonts w:cs="Arial"/>
          <w:i/>
          <w:color w:val="000000"/>
          <w:sz w:val="20"/>
        </w:rPr>
        <w:t>Mocny alkohol jest bowiem jednym z niewielu generatorów marży,</w:t>
      </w:r>
      <w:r>
        <w:rPr>
          <w:rFonts w:cs="Arial"/>
          <w:i/>
          <w:color w:val="000000"/>
          <w:sz w:val="20"/>
        </w:rPr>
        <w:t xml:space="preserve"> </w:t>
      </w:r>
      <w:r w:rsidRPr="00FA6373">
        <w:rPr>
          <w:rFonts w:cs="Arial"/>
          <w:i/>
          <w:color w:val="000000"/>
          <w:sz w:val="20"/>
        </w:rPr>
        <w:t xml:space="preserve">wytwarzając nawet do 10% całościowych obrotów przeciętnego sklepu spożywczego. Należy pamiętać, że każdy procent spadku obrotów, przekłada się na zmniejszenie zatrudnienia. W wyniku drastycznych spadków sprzedaży, które obserwujemy od początku roku wiele małych sklepów może nie zdołać utrzymać się na rynku. </w:t>
      </w:r>
      <w:r w:rsidR="002F615B">
        <w:rPr>
          <w:rFonts w:cs="Arial"/>
          <w:i/>
          <w:color w:val="000000"/>
          <w:sz w:val="20"/>
        </w:rPr>
        <w:t xml:space="preserve">To oznacza utratę zatrudnienia </w:t>
      </w:r>
      <w:r w:rsidR="002F615B" w:rsidRPr="002F615B">
        <w:rPr>
          <w:rFonts w:cs="Arial"/>
          <w:i/>
          <w:color w:val="000000"/>
          <w:sz w:val="20"/>
        </w:rPr>
        <w:t>od kilku do kilkunastu tysięcy</w:t>
      </w:r>
      <w:r w:rsidR="002F615B">
        <w:rPr>
          <w:rFonts w:cs="Arial"/>
          <w:i/>
          <w:color w:val="000000"/>
          <w:sz w:val="20"/>
        </w:rPr>
        <w:t xml:space="preserve"> osób. </w:t>
      </w:r>
      <w:r w:rsidRPr="00FA6373">
        <w:rPr>
          <w:rFonts w:cs="Arial"/>
          <w:i/>
          <w:color w:val="000000"/>
          <w:sz w:val="20"/>
        </w:rPr>
        <w:t>Zbyt wysoka akcyza na alkohol zawsze powoduje przesuniecie sprzedaży do szarej strefy, co oprócz skutków ekonomicznych i budżetowych stanowi również zagrożenie</w:t>
      </w:r>
      <w:r>
        <w:rPr>
          <w:rFonts w:cs="Arial"/>
          <w:i/>
          <w:color w:val="000000"/>
          <w:sz w:val="20"/>
        </w:rPr>
        <w:t xml:space="preserve"> </w:t>
      </w:r>
      <w:r w:rsidRPr="00FA6373">
        <w:rPr>
          <w:rFonts w:cs="Arial"/>
          <w:i/>
          <w:color w:val="000000"/>
          <w:sz w:val="20"/>
        </w:rPr>
        <w:t>dla zdrowia.</w:t>
      </w:r>
    </w:p>
    <w:p w:rsidR="008403E8" w:rsidRDefault="008403E8" w:rsidP="008C0C99">
      <w:pPr>
        <w:jc w:val="both"/>
        <w:rPr>
          <w:rFonts w:cs="Arial"/>
          <w:b/>
          <w:color w:val="000000"/>
          <w:sz w:val="20"/>
        </w:rPr>
      </w:pPr>
    </w:p>
    <w:p w:rsidR="008403E8" w:rsidRPr="00FA6373" w:rsidRDefault="00FA6373" w:rsidP="008C0C99">
      <w:pPr>
        <w:jc w:val="both"/>
        <w:rPr>
          <w:rFonts w:cs="Arial"/>
          <w:b/>
          <w:color w:val="F79646" w:themeColor="accent6"/>
          <w:sz w:val="36"/>
        </w:rPr>
      </w:pPr>
      <w:r w:rsidRPr="00FA6373">
        <w:rPr>
          <w:rFonts w:cs="Arial"/>
          <w:b/>
          <w:color w:val="F79646" w:themeColor="accent6"/>
          <w:sz w:val="36"/>
        </w:rPr>
        <w:t>-10,5%</w:t>
      </w:r>
      <w:r>
        <w:rPr>
          <w:rFonts w:cs="Arial"/>
          <w:b/>
          <w:color w:val="F79646" w:themeColor="accent6"/>
          <w:sz w:val="36"/>
        </w:rPr>
        <w:t xml:space="preserve"> </w:t>
      </w:r>
    </w:p>
    <w:p w:rsidR="008403E8" w:rsidRPr="008C0C99" w:rsidRDefault="008403E8" w:rsidP="008C0C99">
      <w:pPr>
        <w:jc w:val="both"/>
        <w:rPr>
          <w:rFonts w:cs="Arial"/>
          <w:color w:val="000000"/>
          <w:sz w:val="20"/>
        </w:rPr>
      </w:pPr>
    </w:p>
    <w:p w:rsidR="00E120CF" w:rsidRDefault="00FA6373" w:rsidP="008C0C99">
      <w:pPr>
        <w:jc w:val="both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Źródło: CMR</w:t>
      </w:r>
      <w:r w:rsidRPr="00FA6373">
        <w:rPr>
          <w:rFonts w:cs="Arial"/>
          <w:i/>
          <w:color w:val="000000"/>
          <w:sz w:val="20"/>
        </w:rPr>
        <w:t xml:space="preserve"> – Panel sklepów małoformatowych, % zmiana sprzedaży wolumenowej, kategoria wódka, YTD 10’14 </w:t>
      </w:r>
      <w:proofErr w:type="spellStart"/>
      <w:r w:rsidRPr="00FA6373">
        <w:rPr>
          <w:rFonts w:cs="Arial"/>
          <w:i/>
          <w:color w:val="000000"/>
          <w:sz w:val="20"/>
        </w:rPr>
        <w:t>vs</w:t>
      </w:r>
      <w:proofErr w:type="spellEnd"/>
      <w:r w:rsidRPr="00FA6373">
        <w:rPr>
          <w:rFonts w:cs="Arial"/>
          <w:i/>
          <w:color w:val="000000"/>
          <w:sz w:val="20"/>
        </w:rPr>
        <w:t xml:space="preserve"> YTD 10’13</w:t>
      </w:r>
    </w:p>
    <w:p w:rsidR="00FA6373" w:rsidRPr="00FA6373" w:rsidRDefault="00FA6373" w:rsidP="008C0C99">
      <w:pPr>
        <w:jc w:val="both"/>
        <w:rPr>
          <w:rFonts w:cs="Arial"/>
          <w:color w:val="000000"/>
          <w:sz w:val="20"/>
        </w:rPr>
      </w:pPr>
    </w:p>
    <w:p w:rsidR="00FA6373" w:rsidRPr="00FA6373" w:rsidRDefault="00FA6373" w:rsidP="008C0C99">
      <w:pPr>
        <w:jc w:val="both"/>
        <w:rPr>
          <w:rFonts w:cs="Arial"/>
          <w:color w:val="000000"/>
          <w:sz w:val="20"/>
        </w:rPr>
      </w:pPr>
    </w:p>
    <w:p w:rsidR="00FA6373" w:rsidRPr="00FA6373" w:rsidRDefault="00FA6373" w:rsidP="008C0C99">
      <w:pPr>
        <w:jc w:val="both"/>
        <w:rPr>
          <w:rFonts w:cs="Arial"/>
          <w:b/>
          <w:color w:val="000000"/>
          <w:sz w:val="20"/>
        </w:rPr>
      </w:pPr>
      <w:r w:rsidRPr="00FA6373">
        <w:rPr>
          <w:rFonts w:cs="Arial"/>
          <w:b/>
          <w:color w:val="000000"/>
          <w:sz w:val="20"/>
        </w:rPr>
        <w:t>Produkcja wódki rekordowo niska</w:t>
      </w:r>
    </w:p>
    <w:p w:rsidR="00FA6373" w:rsidRDefault="00FA6373" w:rsidP="008C0C99">
      <w:pPr>
        <w:jc w:val="both"/>
        <w:rPr>
          <w:rFonts w:cs="Arial"/>
          <w:color w:val="000000"/>
          <w:sz w:val="20"/>
        </w:rPr>
      </w:pPr>
    </w:p>
    <w:p w:rsidR="002D4BFB" w:rsidRDefault="00FA6373" w:rsidP="0010652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Spadek </w:t>
      </w:r>
      <w:r w:rsidR="00F6078A">
        <w:rPr>
          <w:rFonts w:cs="Arial"/>
          <w:color w:val="000000"/>
          <w:sz w:val="20"/>
        </w:rPr>
        <w:t xml:space="preserve">sprzedaży mocno odbił się na produkcji wódki w Polsce, która </w:t>
      </w:r>
      <w:r w:rsidR="0070293A">
        <w:rPr>
          <w:rFonts w:cs="Arial"/>
          <w:color w:val="000000"/>
          <w:sz w:val="20"/>
        </w:rPr>
        <w:t>maleje nieprzerwanie od początku roku. W</w:t>
      </w:r>
      <w:r w:rsidR="00F6078A">
        <w:rPr>
          <w:rFonts w:cs="Arial"/>
          <w:color w:val="000000"/>
          <w:sz w:val="20"/>
        </w:rPr>
        <w:t xml:space="preserve"> </w:t>
      </w:r>
      <w:r w:rsidR="0070293A">
        <w:rPr>
          <w:rFonts w:cs="Arial"/>
          <w:color w:val="000000"/>
          <w:sz w:val="20"/>
        </w:rPr>
        <w:t>okresie I-X spadek produkcji wyniósł</w:t>
      </w:r>
      <w:r w:rsidR="00F6078A">
        <w:rPr>
          <w:rFonts w:cs="Arial"/>
          <w:color w:val="000000"/>
          <w:sz w:val="20"/>
        </w:rPr>
        <w:t xml:space="preserve"> 20%. </w:t>
      </w:r>
      <w:r w:rsidR="002D4BFB">
        <w:rPr>
          <w:rFonts w:cs="Arial"/>
          <w:color w:val="000000"/>
          <w:sz w:val="20"/>
        </w:rPr>
        <w:t xml:space="preserve">Producenci przewidują, że nadchodzący okres świąteczny, tradycyjnie sprzyjający branży, nie przyniesie dużych wzrostów, które mogłyby wyrównać stratę. Według branży produkcja </w:t>
      </w:r>
      <w:r w:rsidR="0070293A">
        <w:rPr>
          <w:rFonts w:cs="Arial"/>
          <w:color w:val="000000"/>
          <w:sz w:val="20"/>
        </w:rPr>
        <w:t>wódki będzie spadać również na początku</w:t>
      </w:r>
      <w:r w:rsidR="002D4BFB">
        <w:rPr>
          <w:rFonts w:cs="Arial"/>
          <w:color w:val="000000"/>
          <w:sz w:val="20"/>
        </w:rPr>
        <w:t xml:space="preserve"> prz</w:t>
      </w:r>
      <w:r w:rsidR="0070293A">
        <w:rPr>
          <w:rFonts w:cs="Arial"/>
          <w:color w:val="000000"/>
          <w:sz w:val="20"/>
        </w:rPr>
        <w:t>yszłego</w:t>
      </w:r>
      <w:r w:rsidR="002D4BFB">
        <w:rPr>
          <w:rFonts w:cs="Arial"/>
          <w:color w:val="000000"/>
          <w:sz w:val="20"/>
        </w:rPr>
        <w:t xml:space="preserve"> roku. </w:t>
      </w:r>
    </w:p>
    <w:p w:rsidR="00D050DB" w:rsidRPr="00FA6373" w:rsidRDefault="00D050DB" w:rsidP="0010652C">
      <w:pPr>
        <w:jc w:val="both"/>
        <w:rPr>
          <w:rFonts w:cs="Arial"/>
          <w:color w:val="000000"/>
          <w:sz w:val="20"/>
        </w:rPr>
      </w:pPr>
    </w:p>
    <w:p w:rsidR="008C0C99" w:rsidRPr="002D4BFB" w:rsidRDefault="0024593F" w:rsidP="0024593F">
      <w:pPr>
        <w:jc w:val="center"/>
        <w:rPr>
          <w:rFonts w:cs="Arial"/>
          <w:b/>
          <w:color w:val="000000"/>
          <w:sz w:val="18"/>
        </w:rPr>
      </w:pPr>
      <w:r w:rsidRPr="002D4BFB">
        <w:rPr>
          <w:rFonts w:cs="Arial"/>
          <w:b/>
          <w:color w:val="000000"/>
          <w:sz w:val="18"/>
        </w:rPr>
        <w:t>Produkcja wódki czystej</w:t>
      </w:r>
    </w:p>
    <w:tbl>
      <w:tblPr>
        <w:tblW w:w="99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7"/>
        <w:gridCol w:w="1008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70293A" w:rsidRPr="0024593F" w:rsidTr="0070293A">
        <w:trPr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VIII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I-X</w:t>
            </w:r>
          </w:p>
        </w:tc>
      </w:tr>
      <w:tr w:rsidR="0070293A" w:rsidRPr="0024593F" w:rsidTr="0070293A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77,3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0293A" w:rsidRPr="0024593F" w:rsidTr="0070293A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sz w:val="22"/>
                <w:szCs w:val="22"/>
                <w:lang w:eastAsia="pl-PL"/>
              </w:rPr>
              <w:t>86,3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sz w:val="22"/>
                <w:szCs w:val="22"/>
                <w:lang w:eastAsia="pl-PL"/>
              </w:rPr>
              <w:t>87,6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681</w:t>
            </w:r>
          </w:p>
        </w:tc>
      </w:tr>
      <w:tr w:rsidR="0070293A" w:rsidRPr="0024593F" w:rsidTr="0070293A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m/m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-47,0%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-23,3%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-31,7%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-4,7%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-19,3%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-9,8%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-2,5%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-10,0%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-21,5%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593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-28,2%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3F" w:rsidRPr="0024593F" w:rsidRDefault="0024593F" w:rsidP="0024593F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b/>
                <w:bCs/>
                <w:color w:val="F79646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F79646"/>
                <w:sz w:val="22"/>
                <w:szCs w:val="22"/>
                <w:lang w:eastAsia="pl-PL"/>
              </w:rPr>
              <w:t>-20</w:t>
            </w:r>
            <w:r w:rsidRPr="0024593F">
              <w:rPr>
                <w:rFonts w:ascii="Calibri" w:hAnsi="Calibri" w:cs="Calibri"/>
                <w:b/>
                <w:bCs/>
                <w:color w:val="F79646"/>
                <w:sz w:val="22"/>
                <w:szCs w:val="22"/>
                <w:lang w:eastAsia="pl-PL"/>
              </w:rPr>
              <w:t>%</w:t>
            </w:r>
          </w:p>
        </w:tc>
      </w:tr>
    </w:tbl>
    <w:p w:rsidR="00FA6373" w:rsidRPr="0070293A" w:rsidRDefault="0024593F" w:rsidP="0010652C">
      <w:pPr>
        <w:jc w:val="both"/>
        <w:rPr>
          <w:rFonts w:cs="Arial"/>
          <w:i/>
          <w:color w:val="000000"/>
          <w:sz w:val="18"/>
        </w:rPr>
      </w:pPr>
      <w:r w:rsidRPr="002D4BFB">
        <w:rPr>
          <w:rFonts w:cs="Arial"/>
          <w:i/>
          <w:color w:val="000000"/>
          <w:sz w:val="18"/>
        </w:rPr>
        <w:t>Dane: GUS, Biuletyn Statystyczny</w:t>
      </w:r>
    </w:p>
    <w:p w:rsidR="00FA6373" w:rsidRPr="00FA6373" w:rsidRDefault="00FA6373" w:rsidP="0010652C">
      <w:pPr>
        <w:jc w:val="both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9A5DAF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>Brown Forman Polska, CEDC</w:t>
      </w:r>
      <w:r>
        <w:rPr>
          <w:rFonts w:ascii="Arial" w:hAnsi="Arial" w:cs="Arial"/>
          <w:color w:val="000000"/>
          <w:sz w:val="18"/>
          <w:szCs w:val="18"/>
        </w:rPr>
        <w:t xml:space="preserve"> International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Dębowa Polska,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D4BFB" w:rsidRPr="00667815" w:rsidRDefault="002D4BFB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2D4BFB">
        <w:rPr>
          <w:rFonts w:ascii="Arial" w:hAnsi="Arial" w:cs="Arial"/>
          <w:b/>
          <w:color w:val="000000"/>
          <w:sz w:val="18"/>
          <w:szCs w:val="18"/>
        </w:rPr>
        <w:t xml:space="preserve">Polska Izba Handlu </w:t>
      </w:r>
      <w:r w:rsidRPr="002D4BFB">
        <w:rPr>
          <w:rFonts w:ascii="Arial" w:hAnsi="Arial" w:cs="Arial"/>
          <w:color w:val="000000"/>
          <w:sz w:val="18"/>
          <w:szCs w:val="18"/>
        </w:rPr>
        <w:t>to najszersza reprezentacja handlu detalicznego i hurtowego FMCG w Polsce. Zrzesza ponad 30 tys. podmiotów handlowych od pojedynczych sklepów po ogólnopolskie sieci franczyzowe i dystrybucyjne. Izba reprezentuje interesy swoich Członków. Monitoruje i konsultuje procesy legislacyjne na poziomie krajowym i europejskim. Przeciwdziała wprowadzaniu rozwiązań niedostosowanych do potrzeb rynku, opracowuje także własne sugestie zmian, które usprawniają najważniejsze aspekty funkcjonowania przedsiębiorczości i sektora handlu w Polsce. Polska Izba Handlu jest również platformą rozwoju współpracy biznesowej umożliwiając zwiększanie konkurencyjności swoich Członków, np. przez udział w projektach unijnych, business mixer czy wsparcie eksportu.</w:t>
      </w:r>
    </w:p>
    <w:sectPr w:rsidR="002D4BFB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5D" w:rsidRDefault="00BA7D5D">
      <w:r>
        <w:separator/>
      </w:r>
    </w:p>
  </w:endnote>
  <w:endnote w:type="continuationSeparator" w:id="0">
    <w:p w:rsidR="00BA7D5D" w:rsidRDefault="00BA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Pr="005F38A4">
      <w:rPr>
        <w:rFonts w:cs="Arial"/>
        <w:noProof/>
        <w:sz w:val="18"/>
        <w:szCs w:val="18"/>
        <w:lang w:val="en-US" w:eastAsia="pl-PL"/>
      </w:rPr>
      <w:t>pps.</w:t>
    </w:r>
    <w:r>
      <w:rPr>
        <w:rFonts w:cs="Arial"/>
        <w:noProof/>
        <w:sz w:val="18"/>
        <w:szCs w:val="18"/>
        <w:lang w:val="en-US" w:eastAsia="pl-PL"/>
      </w:rPr>
      <w:t>waw.</w:t>
    </w:r>
    <w:r w:rsidRPr="005F38A4">
      <w:rPr>
        <w:rFonts w:cs="Arial"/>
        <w:noProof/>
        <w:sz w:val="18"/>
        <w:szCs w:val="18"/>
        <w:lang w:val="en-US" w:eastAsia="pl-PL"/>
      </w:rPr>
      <w:t>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4F07D4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AC3CDB" w:rsidRPr="005F38A4">
        <w:rPr>
          <w:rStyle w:val="Hipercze"/>
          <w:rFonts w:cs="Arial"/>
          <w:noProof/>
          <w:sz w:val="18"/>
          <w:szCs w:val="18"/>
          <w:lang w:eastAsia="pl-PL"/>
        </w:rPr>
        <w:t>www.pps.waw.pl</w:t>
      </w:r>
    </w:hyperlink>
    <w:r w:rsidR="00AC3CDB" w:rsidRPr="005F38A4">
      <w:rPr>
        <w:rFonts w:cs="Arial"/>
        <w:sz w:val="18"/>
        <w:szCs w:val="18"/>
      </w:rPr>
      <w:t xml:space="preserve"> 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5D" w:rsidRDefault="00BA7D5D">
      <w:r>
        <w:separator/>
      </w:r>
    </w:p>
  </w:footnote>
  <w:footnote w:type="continuationSeparator" w:id="0">
    <w:p w:rsidR="00BA7D5D" w:rsidRDefault="00BA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13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25864"/>
    <w:rsid w:val="000265A1"/>
    <w:rsid w:val="00032D0F"/>
    <w:rsid w:val="00037C38"/>
    <w:rsid w:val="00040F22"/>
    <w:rsid w:val="0004136D"/>
    <w:rsid w:val="000458F6"/>
    <w:rsid w:val="00045CBD"/>
    <w:rsid w:val="00046858"/>
    <w:rsid w:val="00055EBA"/>
    <w:rsid w:val="00057A32"/>
    <w:rsid w:val="00062194"/>
    <w:rsid w:val="00063222"/>
    <w:rsid w:val="0006326C"/>
    <w:rsid w:val="0006331D"/>
    <w:rsid w:val="000669AF"/>
    <w:rsid w:val="00066CA8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41FC"/>
    <w:rsid w:val="001259F3"/>
    <w:rsid w:val="00126A2A"/>
    <w:rsid w:val="00126CDF"/>
    <w:rsid w:val="0013504A"/>
    <w:rsid w:val="00135D65"/>
    <w:rsid w:val="00135DD1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3D18"/>
    <w:rsid w:val="00217684"/>
    <w:rsid w:val="00220117"/>
    <w:rsid w:val="00222791"/>
    <w:rsid w:val="00225B5E"/>
    <w:rsid w:val="00226734"/>
    <w:rsid w:val="00230614"/>
    <w:rsid w:val="002328F7"/>
    <w:rsid w:val="00233D20"/>
    <w:rsid w:val="00234A91"/>
    <w:rsid w:val="00237807"/>
    <w:rsid w:val="002403B3"/>
    <w:rsid w:val="0024213B"/>
    <w:rsid w:val="00245422"/>
    <w:rsid w:val="0024593F"/>
    <w:rsid w:val="002479B6"/>
    <w:rsid w:val="00255FF6"/>
    <w:rsid w:val="00256CCE"/>
    <w:rsid w:val="002573D7"/>
    <w:rsid w:val="0026062B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C6247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40E8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756F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402C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26C"/>
    <w:rsid w:val="00562389"/>
    <w:rsid w:val="005636A4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4206E"/>
    <w:rsid w:val="006420A0"/>
    <w:rsid w:val="00643EF4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4C33"/>
    <w:rsid w:val="006A3554"/>
    <w:rsid w:val="006A5A13"/>
    <w:rsid w:val="006A6734"/>
    <w:rsid w:val="006B0E32"/>
    <w:rsid w:val="006B10D5"/>
    <w:rsid w:val="006B6226"/>
    <w:rsid w:val="006C14B4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A2BBA"/>
    <w:rsid w:val="007A333A"/>
    <w:rsid w:val="007B06D1"/>
    <w:rsid w:val="007B5372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3968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03E8"/>
    <w:rsid w:val="008425BF"/>
    <w:rsid w:val="0084514E"/>
    <w:rsid w:val="0084729C"/>
    <w:rsid w:val="008512DB"/>
    <w:rsid w:val="00852217"/>
    <w:rsid w:val="00853E0F"/>
    <w:rsid w:val="0085618A"/>
    <w:rsid w:val="0086115E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B015E"/>
    <w:rsid w:val="009B1C88"/>
    <w:rsid w:val="009B3736"/>
    <w:rsid w:val="009B3892"/>
    <w:rsid w:val="009B3E90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B5DB0"/>
    <w:rsid w:val="00AC02D9"/>
    <w:rsid w:val="00AC1B93"/>
    <w:rsid w:val="00AC1C77"/>
    <w:rsid w:val="00AC3CDB"/>
    <w:rsid w:val="00AC58CD"/>
    <w:rsid w:val="00AC5B45"/>
    <w:rsid w:val="00AD22FE"/>
    <w:rsid w:val="00AD2D7E"/>
    <w:rsid w:val="00AE53C2"/>
    <w:rsid w:val="00AE749B"/>
    <w:rsid w:val="00AF1F1E"/>
    <w:rsid w:val="00AF23A0"/>
    <w:rsid w:val="00AF398C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A429C"/>
    <w:rsid w:val="00BA48D4"/>
    <w:rsid w:val="00BA6CA6"/>
    <w:rsid w:val="00BA7D5D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E3B"/>
    <w:rsid w:val="00BF483B"/>
    <w:rsid w:val="00BF6C6E"/>
    <w:rsid w:val="00C00129"/>
    <w:rsid w:val="00C00985"/>
    <w:rsid w:val="00C054CD"/>
    <w:rsid w:val="00C070C7"/>
    <w:rsid w:val="00C07280"/>
    <w:rsid w:val="00C1016C"/>
    <w:rsid w:val="00C10517"/>
    <w:rsid w:val="00C114AD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B16"/>
    <w:rsid w:val="00C36B27"/>
    <w:rsid w:val="00C37118"/>
    <w:rsid w:val="00C408EA"/>
    <w:rsid w:val="00C41580"/>
    <w:rsid w:val="00C434C2"/>
    <w:rsid w:val="00C43A9A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AF0"/>
    <w:rsid w:val="00CE3CAA"/>
    <w:rsid w:val="00CE6145"/>
    <w:rsid w:val="00CF063C"/>
    <w:rsid w:val="00CF2B99"/>
    <w:rsid w:val="00D02737"/>
    <w:rsid w:val="00D02A7C"/>
    <w:rsid w:val="00D050DB"/>
    <w:rsid w:val="00D06383"/>
    <w:rsid w:val="00D13611"/>
    <w:rsid w:val="00D1438E"/>
    <w:rsid w:val="00D149B4"/>
    <w:rsid w:val="00D17992"/>
    <w:rsid w:val="00D17E5E"/>
    <w:rsid w:val="00D207F5"/>
    <w:rsid w:val="00D21CBA"/>
    <w:rsid w:val="00D3107B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D8"/>
    <w:rsid w:val="00D9373A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E1F2F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95963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s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E902-16E8-4163-88F4-F421E11D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4801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11</cp:revision>
  <cp:lastPrinted>2014-07-18T08:36:00Z</cp:lastPrinted>
  <dcterms:created xsi:type="dcterms:W3CDTF">2014-12-01T11:59:00Z</dcterms:created>
  <dcterms:modified xsi:type="dcterms:W3CDTF">2014-12-15T11:08:00Z</dcterms:modified>
</cp:coreProperties>
</file>