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4C" w:rsidRPr="00377360" w:rsidRDefault="0098049C" w:rsidP="00F2304C">
      <w:pPr>
        <w:rPr>
          <w:rFonts w:cs="Arial"/>
        </w:rPr>
      </w:pPr>
      <w:r>
        <w:rPr>
          <w:rFonts w:cs="Arial"/>
          <w:noProof/>
          <w:color w:val="808080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10883</wp:posOffset>
            </wp:positionH>
            <wp:positionV relativeFrom="paragraph">
              <wp:posOffset>-104864</wp:posOffset>
            </wp:positionV>
            <wp:extent cx="2062716" cy="1148317"/>
            <wp:effectExtent l="0" t="0" r="0" b="0"/>
            <wp:wrapNone/>
            <wp:docPr id="3" name="Obraz 3" descr="PPS_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PS_now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6331" t="66324" r="34921" b="20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716" cy="114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EC6" w:rsidRPr="00377360" w:rsidRDefault="00513EC6" w:rsidP="00F2304C">
      <w:pPr>
        <w:rPr>
          <w:rFonts w:cs="Arial"/>
          <w:color w:val="808080"/>
        </w:rPr>
      </w:pPr>
    </w:p>
    <w:p w:rsidR="00513EC6" w:rsidRPr="00377360" w:rsidRDefault="00513EC6" w:rsidP="00513EC6">
      <w:pPr>
        <w:rPr>
          <w:rFonts w:cs="Arial"/>
        </w:rPr>
      </w:pPr>
    </w:p>
    <w:p w:rsidR="00FB50F5" w:rsidRPr="00377360" w:rsidRDefault="00FB50F5" w:rsidP="00283277">
      <w:pPr>
        <w:tabs>
          <w:tab w:val="left" w:pos="1830"/>
        </w:tabs>
        <w:jc w:val="right"/>
        <w:rPr>
          <w:rFonts w:cs="Arial"/>
          <w:color w:val="808080"/>
        </w:rPr>
      </w:pPr>
    </w:p>
    <w:p w:rsidR="002D4BFB" w:rsidRDefault="00616F68" w:rsidP="003B4F18">
      <w:pPr>
        <w:tabs>
          <w:tab w:val="left" w:pos="1830"/>
        </w:tabs>
        <w:jc w:val="right"/>
        <w:rPr>
          <w:rFonts w:cs="Arial"/>
          <w:color w:val="808080"/>
          <w:sz w:val="20"/>
        </w:rPr>
      </w:pPr>
      <w:r w:rsidRPr="00377360">
        <w:rPr>
          <w:rFonts w:cs="Arial"/>
          <w:color w:val="808080"/>
          <w:sz w:val="20"/>
        </w:rPr>
        <w:tab/>
      </w:r>
      <w:r w:rsidR="00377360" w:rsidRPr="00377360">
        <w:rPr>
          <w:rFonts w:cs="Arial"/>
          <w:color w:val="808080"/>
          <w:sz w:val="20"/>
        </w:rPr>
        <w:t xml:space="preserve">                         </w:t>
      </w:r>
      <w:r w:rsidR="00DF5804">
        <w:rPr>
          <w:rFonts w:cs="Arial"/>
          <w:color w:val="808080"/>
          <w:sz w:val="20"/>
        </w:rPr>
        <w:tab/>
      </w:r>
      <w:r w:rsidR="00DF5804">
        <w:rPr>
          <w:rFonts w:cs="Arial"/>
          <w:color w:val="808080"/>
          <w:sz w:val="20"/>
        </w:rPr>
        <w:tab/>
      </w:r>
      <w:r w:rsidR="00377360" w:rsidRPr="00377360">
        <w:rPr>
          <w:rFonts w:cs="Arial"/>
          <w:color w:val="808080"/>
          <w:sz w:val="20"/>
        </w:rPr>
        <w:tab/>
      </w:r>
      <w:r w:rsidR="00377360" w:rsidRPr="00377360">
        <w:rPr>
          <w:rFonts w:cs="Arial"/>
          <w:color w:val="808080"/>
          <w:sz w:val="20"/>
        </w:rPr>
        <w:tab/>
      </w:r>
      <w:r w:rsidR="008A20AB">
        <w:rPr>
          <w:rFonts w:cs="Arial"/>
          <w:color w:val="808080"/>
          <w:sz w:val="20"/>
        </w:rPr>
        <w:t xml:space="preserve">                   </w:t>
      </w:r>
    </w:p>
    <w:p w:rsidR="002D4BFB" w:rsidRDefault="002D4BFB" w:rsidP="003B4F18">
      <w:pPr>
        <w:tabs>
          <w:tab w:val="left" w:pos="1830"/>
        </w:tabs>
        <w:jc w:val="right"/>
        <w:rPr>
          <w:rFonts w:cs="Arial"/>
          <w:color w:val="808080"/>
          <w:sz w:val="20"/>
        </w:rPr>
      </w:pPr>
    </w:p>
    <w:p w:rsidR="002D4BFB" w:rsidRDefault="002D4BFB" w:rsidP="003B4F18">
      <w:pPr>
        <w:tabs>
          <w:tab w:val="left" w:pos="1830"/>
        </w:tabs>
        <w:jc w:val="right"/>
        <w:rPr>
          <w:rFonts w:cs="Arial"/>
          <w:color w:val="808080"/>
          <w:sz w:val="20"/>
        </w:rPr>
      </w:pPr>
    </w:p>
    <w:p w:rsidR="00D7760C" w:rsidRDefault="00BD4AB9" w:rsidP="003B4F18">
      <w:pPr>
        <w:tabs>
          <w:tab w:val="left" w:pos="1830"/>
        </w:tabs>
        <w:jc w:val="right"/>
        <w:rPr>
          <w:rFonts w:cs="Arial"/>
          <w:color w:val="808080"/>
          <w:sz w:val="20"/>
        </w:rPr>
      </w:pPr>
      <w:r>
        <w:rPr>
          <w:rFonts w:cs="Arial"/>
          <w:color w:val="808080"/>
          <w:sz w:val="20"/>
        </w:rPr>
        <w:t xml:space="preserve">Warszawa, </w:t>
      </w:r>
      <w:r w:rsidR="0023202A">
        <w:rPr>
          <w:rFonts w:cs="Arial"/>
          <w:color w:val="808080"/>
          <w:sz w:val="20"/>
        </w:rPr>
        <w:t>29</w:t>
      </w:r>
      <w:r w:rsidR="000D42DE">
        <w:rPr>
          <w:rFonts w:cs="Arial"/>
          <w:color w:val="808080"/>
          <w:sz w:val="20"/>
        </w:rPr>
        <w:t xml:space="preserve"> </w:t>
      </w:r>
      <w:r w:rsidR="00D16419">
        <w:rPr>
          <w:rFonts w:cs="Arial"/>
          <w:color w:val="808080"/>
          <w:sz w:val="20"/>
        </w:rPr>
        <w:t>styczn</w:t>
      </w:r>
      <w:r w:rsidR="000D42DE">
        <w:rPr>
          <w:rFonts w:cs="Arial"/>
          <w:color w:val="808080"/>
          <w:sz w:val="20"/>
        </w:rPr>
        <w:t>ia</w:t>
      </w:r>
      <w:r w:rsidR="00770EBB">
        <w:rPr>
          <w:rFonts w:cs="Arial"/>
          <w:color w:val="808080"/>
          <w:sz w:val="20"/>
        </w:rPr>
        <w:t xml:space="preserve"> </w:t>
      </w:r>
      <w:r w:rsidR="006116A2" w:rsidRPr="00377360">
        <w:rPr>
          <w:rFonts w:cs="Arial"/>
          <w:color w:val="808080"/>
          <w:sz w:val="20"/>
        </w:rPr>
        <w:t>201</w:t>
      </w:r>
      <w:r w:rsidR="00D16419">
        <w:rPr>
          <w:rFonts w:cs="Arial"/>
          <w:color w:val="808080"/>
          <w:sz w:val="20"/>
        </w:rPr>
        <w:t>5</w:t>
      </w:r>
      <w:r w:rsidR="006116A2" w:rsidRPr="00377360">
        <w:rPr>
          <w:rFonts w:cs="Arial"/>
          <w:color w:val="808080"/>
          <w:sz w:val="20"/>
        </w:rPr>
        <w:t xml:space="preserve"> r.</w:t>
      </w:r>
    </w:p>
    <w:p w:rsidR="00E733DB" w:rsidRDefault="00E733DB" w:rsidP="00E733DB">
      <w:pPr>
        <w:tabs>
          <w:tab w:val="left" w:pos="1830"/>
        </w:tabs>
        <w:rPr>
          <w:rFonts w:cs="Arial"/>
          <w:color w:val="808080"/>
          <w:sz w:val="20"/>
        </w:rPr>
      </w:pPr>
    </w:p>
    <w:p w:rsidR="00E733DB" w:rsidRPr="00377360" w:rsidRDefault="00E733DB" w:rsidP="00E733DB">
      <w:pPr>
        <w:tabs>
          <w:tab w:val="left" w:pos="1830"/>
        </w:tabs>
        <w:rPr>
          <w:rFonts w:cs="Arial"/>
          <w:color w:val="808080"/>
          <w:sz w:val="20"/>
        </w:rPr>
      </w:pPr>
      <w:r>
        <w:rPr>
          <w:rFonts w:cs="Arial"/>
          <w:color w:val="808080"/>
          <w:sz w:val="20"/>
        </w:rPr>
        <w:t>INFORMACJA PRASOWA</w:t>
      </w:r>
    </w:p>
    <w:p w:rsidR="00706458" w:rsidRDefault="00706458" w:rsidP="00532D51">
      <w:pPr>
        <w:jc w:val="center"/>
        <w:rPr>
          <w:rFonts w:cs="Arial"/>
          <w:b/>
          <w:color w:val="FF0000"/>
          <w:szCs w:val="24"/>
        </w:rPr>
      </w:pPr>
    </w:p>
    <w:p w:rsidR="001D733F" w:rsidRPr="005723FD" w:rsidRDefault="0033249C" w:rsidP="00AC3CDB">
      <w:pPr>
        <w:jc w:val="center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 xml:space="preserve">Produkcja wódki w Polsce </w:t>
      </w:r>
      <w:r w:rsidR="000532BC">
        <w:rPr>
          <w:rFonts w:cs="Arial"/>
          <w:b/>
          <w:sz w:val="22"/>
          <w:szCs w:val="24"/>
        </w:rPr>
        <w:t>rekordowo niska</w:t>
      </w:r>
      <w:r w:rsidR="008A32D4">
        <w:rPr>
          <w:rFonts w:cs="Arial"/>
          <w:b/>
          <w:sz w:val="22"/>
          <w:szCs w:val="24"/>
        </w:rPr>
        <w:t xml:space="preserve"> przy wzroście innych kategorii</w:t>
      </w:r>
      <w:r w:rsidR="00F874BD">
        <w:rPr>
          <w:rFonts w:cs="Arial"/>
          <w:b/>
          <w:sz w:val="22"/>
          <w:szCs w:val="24"/>
        </w:rPr>
        <w:br/>
      </w:r>
      <w:r>
        <w:rPr>
          <w:rFonts w:cs="Arial"/>
          <w:b/>
          <w:sz w:val="22"/>
          <w:szCs w:val="24"/>
        </w:rPr>
        <w:t>– komentarz ZP PPS do danych GUS</w:t>
      </w:r>
    </w:p>
    <w:p w:rsidR="00AC3CDB" w:rsidRPr="005723FD" w:rsidRDefault="00AC3CDB" w:rsidP="00AC3CDB">
      <w:pPr>
        <w:jc w:val="center"/>
        <w:rPr>
          <w:rFonts w:cs="Arial"/>
          <w:b/>
          <w:sz w:val="22"/>
          <w:szCs w:val="24"/>
        </w:rPr>
      </w:pPr>
    </w:p>
    <w:p w:rsidR="00A12D88" w:rsidRPr="005723FD" w:rsidRDefault="008A47C0" w:rsidP="007E6DCD">
      <w:pPr>
        <w:jc w:val="both"/>
        <w:rPr>
          <w:rFonts w:cs="Arial"/>
          <w:b/>
          <w:color w:val="000000"/>
          <w:sz w:val="20"/>
          <w:szCs w:val="22"/>
        </w:rPr>
      </w:pPr>
      <w:r>
        <w:rPr>
          <w:rFonts w:cs="Arial"/>
          <w:b/>
          <w:color w:val="000000"/>
          <w:sz w:val="20"/>
          <w:szCs w:val="22"/>
        </w:rPr>
        <w:t>Podwyżka o 15% podatku akcyzowego na mocne alko</w:t>
      </w:r>
      <w:r w:rsidR="0033249C">
        <w:rPr>
          <w:rFonts w:cs="Arial"/>
          <w:b/>
          <w:color w:val="000000"/>
          <w:sz w:val="20"/>
          <w:szCs w:val="22"/>
        </w:rPr>
        <w:t xml:space="preserve">hole, która weszła w </w:t>
      </w:r>
      <w:r w:rsidR="008039C7">
        <w:rPr>
          <w:rFonts w:cs="Arial"/>
          <w:b/>
          <w:color w:val="000000"/>
          <w:sz w:val="20"/>
          <w:szCs w:val="22"/>
        </w:rPr>
        <w:t xml:space="preserve">życie 1 </w:t>
      </w:r>
      <w:r w:rsidR="0033249C">
        <w:rPr>
          <w:rFonts w:cs="Arial"/>
          <w:b/>
          <w:color w:val="000000"/>
          <w:sz w:val="20"/>
          <w:szCs w:val="22"/>
        </w:rPr>
        <w:t>styczni</w:t>
      </w:r>
      <w:r w:rsidR="008039C7">
        <w:rPr>
          <w:rFonts w:cs="Arial"/>
          <w:b/>
          <w:color w:val="000000"/>
          <w:sz w:val="20"/>
          <w:szCs w:val="22"/>
        </w:rPr>
        <w:t>a</w:t>
      </w:r>
      <w:r w:rsidR="0033249C">
        <w:rPr>
          <w:rFonts w:cs="Arial"/>
          <w:b/>
          <w:color w:val="000000"/>
          <w:sz w:val="20"/>
          <w:szCs w:val="22"/>
        </w:rPr>
        <w:t xml:space="preserve"> 2014 r.</w:t>
      </w:r>
      <w:r>
        <w:rPr>
          <w:rFonts w:cs="Arial"/>
          <w:b/>
          <w:color w:val="000000"/>
          <w:sz w:val="20"/>
          <w:szCs w:val="22"/>
        </w:rPr>
        <w:t xml:space="preserve"> </w:t>
      </w:r>
      <w:r w:rsidR="0033249C">
        <w:rPr>
          <w:rFonts w:cs="Arial"/>
          <w:b/>
          <w:color w:val="000000"/>
          <w:sz w:val="20"/>
          <w:szCs w:val="22"/>
        </w:rPr>
        <w:t xml:space="preserve">doprowadziła do załamania produkcji wódki w Polsce. </w:t>
      </w:r>
      <w:r w:rsidR="0096459F">
        <w:rPr>
          <w:rFonts w:cs="Arial"/>
          <w:b/>
          <w:color w:val="000000"/>
          <w:sz w:val="20"/>
          <w:szCs w:val="22"/>
        </w:rPr>
        <w:t xml:space="preserve">W </w:t>
      </w:r>
      <w:r w:rsidR="008039C7">
        <w:rPr>
          <w:rFonts w:cs="Arial"/>
          <w:b/>
          <w:color w:val="000000"/>
          <w:sz w:val="20"/>
          <w:szCs w:val="22"/>
        </w:rPr>
        <w:t xml:space="preserve">całym </w:t>
      </w:r>
      <w:r w:rsidR="0096459F">
        <w:rPr>
          <w:rFonts w:cs="Arial"/>
          <w:b/>
          <w:color w:val="000000"/>
          <w:sz w:val="20"/>
          <w:szCs w:val="22"/>
        </w:rPr>
        <w:t>2014 r. wytworzono jej mniej aż o 24%.</w:t>
      </w:r>
      <w:r w:rsidR="0033249C">
        <w:rPr>
          <w:rFonts w:cs="Arial"/>
          <w:b/>
          <w:color w:val="000000"/>
          <w:sz w:val="20"/>
          <w:szCs w:val="22"/>
        </w:rPr>
        <w:t xml:space="preserve"> Pozostałe</w:t>
      </w:r>
      <w:r w:rsidR="0096459F">
        <w:rPr>
          <w:rFonts w:cs="Arial"/>
          <w:b/>
          <w:color w:val="000000"/>
          <w:sz w:val="20"/>
          <w:szCs w:val="22"/>
        </w:rPr>
        <w:t xml:space="preserve"> kategorie</w:t>
      </w:r>
      <w:r w:rsidR="0033249C">
        <w:rPr>
          <w:rFonts w:cs="Arial"/>
          <w:b/>
          <w:color w:val="000000"/>
          <w:sz w:val="20"/>
          <w:szCs w:val="22"/>
        </w:rPr>
        <w:t xml:space="preserve"> alkoholi</w:t>
      </w:r>
      <w:r w:rsidR="0096459F">
        <w:rPr>
          <w:rFonts w:cs="Arial"/>
          <w:b/>
          <w:color w:val="000000"/>
          <w:sz w:val="20"/>
          <w:szCs w:val="22"/>
        </w:rPr>
        <w:t xml:space="preserve"> odnotowały wzrosty produkcji</w:t>
      </w:r>
      <w:r w:rsidR="0033249C">
        <w:rPr>
          <w:rFonts w:cs="Arial"/>
          <w:b/>
          <w:color w:val="000000"/>
          <w:sz w:val="20"/>
          <w:szCs w:val="22"/>
        </w:rPr>
        <w:t>.</w:t>
      </w:r>
    </w:p>
    <w:p w:rsidR="004B3565" w:rsidRDefault="004B3565" w:rsidP="0010652C">
      <w:pPr>
        <w:jc w:val="both"/>
        <w:rPr>
          <w:rFonts w:cs="Arial"/>
          <w:color w:val="000000"/>
          <w:sz w:val="20"/>
        </w:rPr>
      </w:pPr>
    </w:p>
    <w:p w:rsidR="004B3565" w:rsidRDefault="004C0D6C" w:rsidP="0010652C">
      <w:pPr>
        <w:jc w:val="both"/>
        <w:rPr>
          <w:rFonts w:cs="Arial"/>
          <w:i/>
          <w:color w:val="000000"/>
          <w:sz w:val="20"/>
        </w:rPr>
      </w:pPr>
      <w:r w:rsidRPr="004C0D6C">
        <w:rPr>
          <w:rFonts w:cs="Arial"/>
          <w:i/>
          <w:color w:val="000000"/>
          <w:sz w:val="20"/>
        </w:rPr>
        <w:t>„</w:t>
      </w:r>
      <w:r w:rsidR="003A164B">
        <w:rPr>
          <w:rFonts w:cs="Arial"/>
          <w:i/>
          <w:color w:val="000000"/>
          <w:sz w:val="20"/>
        </w:rPr>
        <w:t xml:space="preserve">Spodziewaliśmy się, że wysoka podwyżka akcyzy wpłynie negatywnie na </w:t>
      </w:r>
      <w:r w:rsidR="0033249C">
        <w:rPr>
          <w:rFonts w:cs="Arial"/>
          <w:i/>
          <w:color w:val="000000"/>
          <w:sz w:val="20"/>
        </w:rPr>
        <w:t>produkcję naszeg</w:t>
      </w:r>
      <w:r w:rsidR="0096459F">
        <w:rPr>
          <w:rFonts w:cs="Arial"/>
          <w:i/>
          <w:color w:val="000000"/>
          <w:sz w:val="20"/>
        </w:rPr>
        <w:t>o narodowego alkoholu</w:t>
      </w:r>
      <w:r w:rsidR="00220781">
        <w:rPr>
          <w:rFonts w:cs="Arial"/>
          <w:i/>
          <w:color w:val="000000"/>
          <w:sz w:val="20"/>
        </w:rPr>
        <w:t xml:space="preserve">, ale </w:t>
      </w:r>
      <w:r w:rsidR="0033249C">
        <w:rPr>
          <w:rFonts w:cs="Arial"/>
          <w:i/>
          <w:color w:val="000000"/>
          <w:sz w:val="20"/>
        </w:rPr>
        <w:t xml:space="preserve">najnowsze dane GUS </w:t>
      </w:r>
      <w:r w:rsidR="003D5893">
        <w:rPr>
          <w:rFonts w:cs="Arial"/>
          <w:i/>
          <w:color w:val="000000"/>
          <w:sz w:val="20"/>
        </w:rPr>
        <w:t xml:space="preserve">są dla nas zaskoczeniem. </w:t>
      </w:r>
      <w:r w:rsidR="00DA009B">
        <w:rPr>
          <w:rFonts w:cs="Arial"/>
          <w:i/>
          <w:color w:val="000000"/>
          <w:sz w:val="20"/>
        </w:rPr>
        <w:t xml:space="preserve">Szczególnie, że mieliśmy pozytywne sygnały dotyczące wzrostu eksportu. </w:t>
      </w:r>
      <w:r w:rsidR="00220781">
        <w:rPr>
          <w:rFonts w:cs="Arial"/>
          <w:i/>
          <w:color w:val="000000"/>
          <w:sz w:val="20"/>
        </w:rPr>
        <w:t>Tak r</w:t>
      </w:r>
      <w:r w:rsidR="0096459F">
        <w:rPr>
          <w:rFonts w:cs="Arial"/>
          <w:i/>
          <w:color w:val="000000"/>
          <w:sz w:val="20"/>
        </w:rPr>
        <w:t>ekordowy s</w:t>
      </w:r>
      <w:r w:rsidR="0033249C">
        <w:rPr>
          <w:rFonts w:cs="Arial"/>
          <w:i/>
          <w:color w:val="000000"/>
          <w:sz w:val="20"/>
        </w:rPr>
        <w:t>padek produkcji</w:t>
      </w:r>
      <w:r w:rsidR="0096459F">
        <w:rPr>
          <w:rFonts w:cs="Arial"/>
          <w:i/>
          <w:color w:val="000000"/>
          <w:sz w:val="20"/>
        </w:rPr>
        <w:t>,</w:t>
      </w:r>
      <w:r w:rsidR="0033249C">
        <w:rPr>
          <w:rFonts w:cs="Arial"/>
          <w:i/>
          <w:color w:val="000000"/>
          <w:sz w:val="20"/>
        </w:rPr>
        <w:t xml:space="preserve"> </w:t>
      </w:r>
      <w:r w:rsidR="0096459F">
        <w:rPr>
          <w:rFonts w:cs="Arial"/>
          <w:i/>
          <w:color w:val="000000"/>
          <w:sz w:val="20"/>
        </w:rPr>
        <w:t xml:space="preserve">aż </w:t>
      </w:r>
      <w:r w:rsidR="0033249C">
        <w:rPr>
          <w:rFonts w:cs="Arial"/>
          <w:i/>
          <w:color w:val="000000"/>
          <w:sz w:val="20"/>
        </w:rPr>
        <w:t>o 24% w całym roku</w:t>
      </w:r>
      <w:r w:rsidR="0096459F">
        <w:rPr>
          <w:rFonts w:cs="Arial"/>
          <w:i/>
          <w:color w:val="000000"/>
          <w:sz w:val="20"/>
        </w:rPr>
        <w:t>,</w:t>
      </w:r>
      <w:r w:rsidR="0033249C">
        <w:rPr>
          <w:rFonts w:cs="Arial"/>
          <w:i/>
          <w:color w:val="000000"/>
          <w:sz w:val="20"/>
        </w:rPr>
        <w:t xml:space="preserve"> odbije się nie tylko na sytuacji producentów, ale całej branży</w:t>
      </w:r>
      <w:r w:rsidR="0096459F">
        <w:rPr>
          <w:rFonts w:cs="Arial"/>
          <w:i/>
          <w:color w:val="000000"/>
          <w:sz w:val="20"/>
        </w:rPr>
        <w:t xml:space="preserve"> spirytusowej. W</w:t>
      </w:r>
      <w:r w:rsidR="0033249C">
        <w:rPr>
          <w:rFonts w:cs="Arial"/>
          <w:i/>
          <w:color w:val="000000"/>
          <w:sz w:val="20"/>
        </w:rPr>
        <w:t xml:space="preserve"> tym samym okresie wzrosła produkcja</w:t>
      </w:r>
      <w:r w:rsidR="0096459F">
        <w:rPr>
          <w:rFonts w:cs="Arial"/>
          <w:i/>
          <w:color w:val="000000"/>
          <w:sz w:val="20"/>
        </w:rPr>
        <w:t xml:space="preserve"> </w:t>
      </w:r>
      <w:r w:rsidR="003D5893">
        <w:rPr>
          <w:rFonts w:cs="Arial"/>
          <w:i/>
          <w:color w:val="000000"/>
          <w:sz w:val="20"/>
        </w:rPr>
        <w:t>piw i win owocowych</w:t>
      </w:r>
      <w:r w:rsidR="0096459F">
        <w:rPr>
          <w:rFonts w:cs="Arial"/>
          <w:i/>
          <w:color w:val="000000"/>
          <w:sz w:val="20"/>
        </w:rPr>
        <w:t>. Podwyżka akcyzy wyłącznie na jedną kategorię alkoholi pogłębiła więc nierówności na rynku</w:t>
      </w:r>
      <w:r w:rsidR="008039C7">
        <w:rPr>
          <w:rFonts w:cs="Arial"/>
          <w:i/>
          <w:color w:val="000000"/>
          <w:sz w:val="20"/>
        </w:rPr>
        <w:t xml:space="preserve">. Dane GUS pokazują również, że napoje alkoholowe nie są komplementarne. </w:t>
      </w:r>
      <w:r w:rsidR="008039C7" w:rsidRPr="008039C7">
        <w:rPr>
          <w:rFonts w:cs="Arial"/>
          <w:i/>
          <w:color w:val="000000"/>
          <w:sz w:val="20"/>
        </w:rPr>
        <w:t>Spadku</w:t>
      </w:r>
      <w:r w:rsidR="0096459F" w:rsidRPr="008039C7">
        <w:rPr>
          <w:rFonts w:cs="Arial"/>
          <w:i/>
          <w:color w:val="000000"/>
          <w:sz w:val="20"/>
        </w:rPr>
        <w:t xml:space="preserve"> </w:t>
      </w:r>
      <w:r w:rsidR="008039C7" w:rsidRPr="008039C7">
        <w:rPr>
          <w:rFonts w:cs="Arial"/>
          <w:i/>
          <w:color w:val="000000"/>
          <w:sz w:val="20"/>
        </w:rPr>
        <w:t xml:space="preserve">produkcji wódki nie </w:t>
      </w:r>
      <w:r w:rsidR="00691688">
        <w:rPr>
          <w:rFonts w:cs="Arial"/>
          <w:i/>
          <w:color w:val="000000"/>
          <w:sz w:val="20"/>
        </w:rPr>
        <w:t>wyrównują</w:t>
      </w:r>
      <w:r w:rsidR="008039C7" w:rsidRPr="008039C7">
        <w:rPr>
          <w:rFonts w:cs="Arial"/>
          <w:i/>
          <w:color w:val="000000"/>
          <w:sz w:val="20"/>
        </w:rPr>
        <w:t xml:space="preserve"> wzrosty pozostałych trunków.</w:t>
      </w:r>
      <w:r w:rsidR="008039C7">
        <w:rPr>
          <w:rFonts w:cs="Arial"/>
          <w:color w:val="000000"/>
          <w:sz w:val="20"/>
        </w:rPr>
        <w:t xml:space="preserve"> </w:t>
      </w:r>
      <w:r w:rsidR="00691688">
        <w:rPr>
          <w:rFonts w:cs="Arial"/>
          <w:i/>
          <w:color w:val="000000"/>
          <w:sz w:val="20"/>
        </w:rPr>
        <w:t>Wygląda na to, że spełnił się czarny scenariusz i</w:t>
      </w:r>
      <w:r w:rsidR="00AD48EC">
        <w:rPr>
          <w:rFonts w:cs="Arial"/>
          <w:i/>
          <w:color w:val="000000"/>
          <w:sz w:val="20"/>
        </w:rPr>
        <w:t xml:space="preserve"> załamanie legalnej produkcji </w:t>
      </w:r>
      <w:r w:rsidR="00691688">
        <w:rPr>
          <w:rFonts w:cs="Arial"/>
          <w:i/>
          <w:color w:val="000000"/>
          <w:sz w:val="20"/>
        </w:rPr>
        <w:t>rekompensuje zwiększenie</w:t>
      </w:r>
      <w:r w:rsidR="00AD48EC">
        <w:rPr>
          <w:rFonts w:cs="Arial"/>
          <w:i/>
          <w:color w:val="000000"/>
          <w:sz w:val="20"/>
        </w:rPr>
        <w:t xml:space="preserve"> podaży ze strony</w:t>
      </w:r>
      <w:r w:rsidR="008039C7">
        <w:rPr>
          <w:rFonts w:cs="Arial"/>
          <w:i/>
          <w:color w:val="000000"/>
          <w:sz w:val="20"/>
        </w:rPr>
        <w:t xml:space="preserve"> szarej strefy</w:t>
      </w:r>
      <w:r w:rsidR="0023202A">
        <w:rPr>
          <w:rFonts w:cs="Arial"/>
          <w:i/>
          <w:color w:val="000000"/>
          <w:sz w:val="20"/>
        </w:rPr>
        <w:t xml:space="preserve">. Już dziś Skarb Państwa traci na niej rocznie </w:t>
      </w:r>
      <w:r w:rsidR="00691688">
        <w:rPr>
          <w:rFonts w:cs="Arial"/>
          <w:i/>
          <w:color w:val="000000"/>
          <w:sz w:val="20"/>
        </w:rPr>
        <w:t>ponad</w:t>
      </w:r>
      <w:r w:rsidR="0023202A">
        <w:rPr>
          <w:rFonts w:cs="Arial"/>
          <w:i/>
          <w:color w:val="000000"/>
          <w:sz w:val="20"/>
        </w:rPr>
        <w:t xml:space="preserve"> </w:t>
      </w:r>
      <w:r w:rsidR="00691688">
        <w:rPr>
          <w:rFonts w:cs="Arial"/>
          <w:i/>
          <w:color w:val="000000"/>
          <w:sz w:val="20"/>
        </w:rPr>
        <w:t>1 mld zł</w:t>
      </w:r>
      <w:r w:rsidR="008039C7">
        <w:rPr>
          <w:rFonts w:cs="Arial"/>
          <w:i/>
          <w:color w:val="000000"/>
          <w:sz w:val="20"/>
        </w:rPr>
        <w:t>”</w:t>
      </w:r>
      <w:r w:rsidR="008039C7">
        <w:rPr>
          <w:rFonts w:cs="Arial"/>
          <w:color w:val="000000"/>
          <w:sz w:val="20"/>
        </w:rPr>
        <w:t xml:space="preserve"> </w:t>
      </w:r>
      <w:r w:rsidR="0096459F">
        <w:rPr>
          <w:rFonts w:cs="Arial"/>
          <w:color w:val="000000"/>
          <w:sz w:val="20"/>
        </w:rPr>
        <w:t xml:space="preserve">- komentuje </w:t>
      </w:r>
      <w:r w:rsidR="0096459F" w:rsidRPr="008C0C99">
        <w:rPr>
          <w:rFonts w:cs="Arial"/>
          <w:b/>
          <w:color w:val="000000"/>
          <w:sz w:val="20"/>
        </w:rPr>
        <w:t>Leszek Wiwała, Prezes Związku Pracodawców Polski Przemysł Spirytusowy.</w:t>
      </w:r>
      <w:r w:rsidR="0096459F" w:rsidRPr="0096459F">
        <w:rPr>
          <w:rFonts w:cs="Arial"/>
          <w:i/>
          <w:color w:val="000000"/>
          <w:sz w:val="20"/>
        </w:rPr>
        <w:t xml:space="preserve"> </w:t>
      </w:r>
    </w:p>
    <w:p w:rsidR="0096459F" w:rsidRDefault="0096459F" w:rsidP="0010652C">
      <w:pPr>
        <w:jc w:val="both"/>
        <w:rPr>
          <w:rFonts w:cs="Arial"/>
          <w:color w:val="000000"/>
          <w:sz w:val="20"/>
        </w:rPr>
      </w:pPr>
    </w:p>
    <w:p w:rsidR="0096459F" w:rsidRPr="0096459F" w:rsidRDefault="008039C7" w:rsidP="008C0C99">
      <w:pPr>
        <w:jc w:val="both"/>
        <w:rPr>
          <w:rFonts w:cs="Arial"/>
          <w:color w:val="000000"/>
          <w:sz w:val="20"/>
        </w:rPr>
      </w:pPr>
      <w:r>
        <w:rPr>
          <w:rFonts w:cs="Arial"/>
          <w:i/>
          <w:color w:val="000000"/>
          <w:sz w:val="20"/>
        </w:rPr>
        <w:t>„</w:t>
      </w:r>
      <w:r w:rsidR="0096459F" w:rsidRPr="0096459F">
        <w:rPr>
          <w:rFonts w:cs="Arial"/>
          <w:i/>
          <w:color w:val="000000"/>
          <w:sz w:val="20"/>
        </w:rPr>
        <w:t xml:space="preserve">Polska jest największym w Unii Europejskiej producentem wódki i czwartym na świecie. Nie mamy jeszcze danych z pozostałych krajów, ale pozycja lidera </w:t>
      </w:r>
      <w:r>
        <w:rPr>
          <w:rFonts w:cs="Arial"/>
          <w:i/>
          <w:color w:val="000000"/>
          <w:sz w:val="20"/>
        </w:rPr>
        <w:t xml:space="preserve">może być </w:t>
      </w:r>
      <w:r w:rsidR="0096459F" w:rsidRPr="0096459F">
        <w:rPr>
          <w:rFonts w:cs="Arial"/>
          <w:i/>
          <w:color w:val="000000"/>
          <w:sz w:val="20"/>
        </w:rPr>
        <w:t>zagrożona.</w:t>
      </w:r>
      <w:r w:rsidR="000161F2">
        <w:rPr>
          <w:rFonts w:cs="Arial"/>
          <w:i/>
          <w:color w:val="000000"/>
          <w:sz w:val="20"/>
        </w:rPr>
        <w:t xml:space="preserve"> Konkurencja na globalnym rynku jest silna, szczególnie ze strony Francji, Szwecji czy Rosji. W</w:t>
      </w:r>
      <w:r w:rsidR="0096459F">
        <w:rPr>
          <w:rFonts w:cs="Arial"/>
          <w:i/>
          <w:color w:val="000000"/>
          <w:sz w:val="20"/>
        </w:rPr>
        <w:t xml:space="preserve">arto </w:t>
      </w:r>
      <w:r w:rsidR="000161F2">
        <w:rPr>
          <w:rFonts w:cs="Arial"/>
          <w:i/>
          <w:color w:val="000000"/>
          <w:sz w:val="20"/>
        </w:rPr>
        <w:t xml:space="preserve">też </w:t>
      </w:r>
      <w:r w:rsidR="0096459F">
        <w:rPr>
          <w:rFonts w:cs="Arial"/>
          <w:i/>
          <w:color w:val="000000"/>
          <w:sz w:val="20"/>
        </w:rPr>
        <w:t>zauważyć, że i tak produkujemy dziś o połowę mniej wódki niż w latach 80-tych.</w:t>
      </w:r>
      <w:r>
        <w:rPr>
          <w:rFonts w:cs="Arial"/>
          <w:i/>
          <w:color w:val="000000"/>
          <w:sz w:val="20"/>
        </w:rPr>
        <w:t xml:space="preserve"> </w:t>
      </w:r>
      <w:r w:rsidR="0096459F">
        <w:rPr>
          <w:rFonts w:cs="Arial"/>
          <w:i/>
          <w:color w:val="000000"/>
          <w:sz w:val="20"/>
        </w:rPr>
        <w:t>Mniej również eksportujemy</w:t>
      </w:r>
      <w:r>
        <w:rPr>
          <w:rFonts w:cs="Arial"/>
          <w:i/>
          <w:color w:val="000000"/>
          <w:sz w:val="20"/>
        </w:rPr>
        <w:t>”</w:t>
      </w:r>
      <w:r w:rsidR="0096459F">
        <w:rPr>
          <w:rFonts w:cs="Arial"/>
          <w:i/>
          <w:color w:val="000000"/>
          <w:sz w:val="20"/>
        </w:rPr>
        <w:t xml:space="preserve"> </w:t>
      </w:r>
      <w:r w:rsidR="0096459F" w:rsidRPr="0096459F">
        <w:rPr>
          <w:rFonts w:cs="Arial"/>
          <w:color w:val="000000"/>
          <w:sz w:val="20"/>
        </w:rPr>
        <w:t>– dodaje Leszek Wiwała.</w:t>
      </w:r>
    </w:p>
    <w:p w:rsidR="0096459F" w:rsidRDefault="0096459F" w:rsidP="008C0C99">
      <w:pPr>
        <w:jc w:val="both"/>
        <w:rPr>
          <w:rFonts w:cs="Arial"/>
          <w:b/>
          <w:color w:val="000000"/>
          <w:sz w:val="20"/>
        </w:rPr>
      </w:pPr>
    </w:p>
    <w:p w:rsidR="009C5501" w:rsidRDefault="00FA6373" w:rsidP="009C5501">
      <w:pPr>
        <w:jc w:val="both"/>
        <w:rPr>
          <w:rFonts w:cs="Arial"/>
          <w:b/>
          <w:color w:val="000000"/>
          <w:sz w:val="20"/>
        </w:rPr>
      </w:pPr>
      <w:r w:rsidRPr="00FA6373">
        <w:rPr>
          <w:rFonts w:cs="Arial"/>
          <w:b/>
          <w:color w:val="000000"/>
          <w:sz w:val="20"/>
        </w:rPr>
        <w:t xml:space="preserve">Produkcja wódki </w:t>
      </w:r>
      <w:r w:rsidR="0033249C">
        <w:rPr>
          <w:rFonts w:cs="Arial"/>
          <w:b/>
          <w:color w:val="000000"/>
          <w:sz w:val="20"/>
        </w:rPr>
        <w:t xml:space="preserve">najniższa </w:t>
      </w:r>
      <w:r w:rsidR="000532BC">
        <w:rPr>
          <w:rFonts w:cs="Arial"/>
          <w:b/>
          <w:color w:val="000000"/>
          <w:sz w:val="20"/>
        </w:rPr>
        <w:t>od ponad dekady</w:t>
      </w:r>
    </w:p>
    <w:p w:rsidR="009C5501" w:rsidRDefault="009C5501" w:rsidP="009C5501">
      <w:pPr>
        <w:jc w:val="both"/>
        <w:rPr>
          <w:rFonts w:cs="Arial"/>
          <w:b/>
          <w:color w:val="000000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28"/>
        <w:gridCol w:w="4752"/>
      </w:tblGrid>
      <w:tr w:rsidR="009C5501" w:rsidTr="000532BC">
        <w:tc>
          <w:tcPr>
            <w:tcW w:w="5328" w:type="dxa"/>
          </w:tcPr>
          <w:p w:rsidR="009C5501" w:rsidRDefault="009C5501" w:rsidP="009C5501">
            <w:pPr>
              <w:jc w:val="both"/>
              <w:rPr>
                <w:rFonts w:cs="Arial"/>
                <w:b/>
                <w:color w:val="000000"/>
                <w:sz w:val="20"/>
              </w:rPr>
            </w:pPr>
            <w:r w:rsidRPr="009C5501">
              <w:rPr>
                <w:rFonts w:cs="Arial"/>
                <w:b/>
                <w:noProof/>
                <w:color w:val="000000"/>
                <w:sz w:val="20"/>
                <w:lang w:eastAsia="pl-PL"/>
              </w:rPr>
              <w:drawing>
                <wp:inline distT="0" distB="0" distL="0" distR="0">
                  <wp:extent cx="3267710" cy="2093595"/>
                  <wp:effectExtent l="0" t="0" r="0" b="0"/>
                  <wp:docPr id="8" name="Wykres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9C5501" w:rsidRPr="000532BC" w:rsidRDefault="000532BC" w:rsidP="000532BC">
            <w:pPr>
              <w:rPr>
                <w:rFonts w:cs="Arial"/>
                <w:i/>
                <w:color w:val="000000"/>
                <w:sz w:val="18"/>
              </w:rPr>
            </w:pPr>
            <w:r>
              <w:rPr>
                <w:rFonts w:cs="Arial"/>
                <w:i/>
                <w:color w:val="000000"/>
                <w:sz w:val="18"/>
              </w:rPr>
              <w:t xml:space="preserve">                          </w:t>
            </w:r>
            <w:r w:rsidRPr="002D4BFB">
              <w:rPr>
                <w:rFonts w:cs="Arial"/>
                <w:i/>
                <w:color w:val="000000"/>
                <w:sz w:val="18"/>
              </w:rPr>
              <w:t>Dane: GUS, Biuletyn Statystyczny</w:t>
            </w:r>
          </w:p>
        </w:tc>
        <w:tc>
          <w:tcPr>
            <w:tcW w:w="4752" w:type="dxa"/>
          </w:tcPr>
          <w:p w:rsidR="009C5501" w:rsidRDefault="009C5501" w:rsidP="009C5501">
            <w:pPr>
              <w:jc w:val="center"/>
              <w:rPr>
                <w:rFonts w:cs="Arial"/>
                <w:b/>
                <w:color w:val="000000"/>
                <w:sz w:val="18"/>
              </w:rPr>
            </w:pPr>
          </w:p>
          <w:p w:rsidR="009C5501" w:rsidRDefault="009C5501" w:rsidP="009C5501">
            <w:pPr>
              <w:jc w:val="center"/>
              <w:rPr>
                <w:rFonts w:cs="Arial"/>
                <w:b/>
                <w:color w:val="000000"/>
                <w:sz w:val="18"/>
              </w:rPr>
            </w:pPr>
            <w:r w:rsidRPr="002D4BFB">
              <w:rPr>
                <w:rFonts w:cs="Arial"/>
                <w:b/>
                <w:color w:val="000000"/>
                <w:sz w:val="18"/>
              </w:rPr>
              <w:t xml:space="preserve">Produkcja </w:t>
            </w:r>
            <w:r>
              <w:rPr>
                <w:rFonts w:cs="Arial"/>
                <w:b/>
                <w:color w:val="000000"/>
                <w:sz w:val="18"/>
              </w:rPr>
              <w:t xml:space="preserve">alkoholi w Polsce (w mln </w:t>
            </w:r>
            <w:proofErr w:type="spellStart"/>
            <w:r>
              <w:rPr>
                <w:rFonts w:cs="Arial"/>
                <w:b/>
                <w:color w:val="000000"/>
                <w:sz w:val="18"/>
              </w:rPr>
              <w:t>hl</w:t>
            </w:r>
            <w:proofErr w:type="spellEnd"/>
            <w:r>
              <w:rPr>
                <w:rFonts w:cs="Arial"/>
                <w:b/>
                <w:color w:val="000000"/>
                <w:sz w:val="18"/>
              </w:rPr>
              <w:t>)</w:t>
            </w:r>
          </w:p>
          <w:p w:rsidR="009C5501" w:rsidRPr="00141C97" w:rsidRDefault="009C5501" w:rsidP="009C5501">
            <w:pPr>
              <w:jc w:val="center"/>
              <w:rPr>
                <w:rFonts w:cs="Arial"/>
                <w:b/>
                <w:color w:val="000000"/>
                <w:sz w:val="18"/>
              </w:rPr>
            </w:pPr>
          </w:p>
          <w:tbl>
            <w:tblPr>
              <w:tblW w:w="4662" w:type="dxa"/>
              <w:jc w:val="center"/>
              <w:tblInd w:w="8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426"/>
              <w:gridCol w:w="1022"/>
              <w:gridCol w:w="1260"/>
              <w:gridCol w:w="954"/>
            </w:tblGrid>
            <w:tr w:rsidR="009C5501" w:rsidRPr="0024593F" w:rsidTr="00AD48EC">
              <w:trPr>
                <w:trHeight w:val="294"/>
                <w:jc w:val="center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01" w:rsidRPr="0024593F" w:rsidRDefault="009C5501" w:rsidP="00AD48EC">
                  <w:pPr>
                    <w:suppressAutoHyphens w:val="0"/>
                    <w:overflowPunct/>
                    <w:autoSpaceDE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01" w:rsidRDefault="009C5501" w:rsidP="00AD48EC">
                  <w:pPr>
                    <w:suppressAutoHyphens w:val="0"/>
                    <w:overflowPunct/>
                    <w:autoSpaceDE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pl-PL"/>
                    </w:rPr>
                  </w:pPr>
                  <w:r w:rsidRPr="00141C97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pl-PL"/>
                    </w:rPr>
                    <w:t>I-XII 2014</w:t>
                  </w:r>
                </w:p>
                <w:p w:rsidR="009C5501" w:rsidRPr="00141C97" w:rsidRDefault="009C5501" w:rsidP="00AD48EC">
                  <w:pPr>
                    <w:suppressAutoHyphens w:val="0"/>
                    <w:overflowPunct/>
                    <w:autoSpaceDE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pl-PL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01" w:rsidRPr="00141C97" w:rsidRDefault="009C5501" w:rsidP="00AD48EC">
                  <w:pPr>
                    <w:suppressAutoHyphens w:val="0"/>
                    <w:overflowPunct/>
                    <w:autoSpaceDE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pl-PL"/>
                    </w:rPr>
                  </w:pPr>
                  <w:r w:rsidRPr="00141C97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pl-PL"/>
                    </w:rPr>
                    <w:t>I-XII 2014;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pl-PL"/>
                    </w:rPr>
                    <w:t xml:space="preserve"> 2013=</w:t>
                  </w:r>
                  <w:r w:rsidRPr="00141C97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pl-PL"/>
                    </w:rPr>
                    <w:t>100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pl-PL"/>
                    </w:rPr>
                    <w:t>;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01" w:rsidRPr="00141C97" w:rsidRDefault="009C5501" w:rsidP="00AD48EC">
                  <w:pPr>
                    <w:suppressAutoHyphens w:val="0"/>
                    <w:overflowPunct/>
                    <w:autoSpaceDE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pl-PL"/>
                    </w:rPr>
                  </w:pPr>
                </w:p>
              </w:tc>
            </w:tr>
            <w:tr w:rsidR="009C5501" w:rsidRPr="0024593F" w:rsidTr="00AD48EC">
              <w:trPr>
                <w:trHeight w:val="294"/>
                <w:jc w:val="center"/>
              </w:trPr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01" w:rsidRDefault="009C5501" w:rsidP="00AD48EC">
                  <w:pPr>
                    <w:suppressAutoHyphens w:val="0"/>
                    <w:overflowPunct/>
                    <w:autoSpaceDE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pl-PL"/>
                    </w:rPr>
                  </w:pPr>
                  <w:r w:rsidRPr="00141C97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pl-PL"/>
                    </w:rPr>
                    <w:t>Piw</w:t>
                  </w:r>
                  <w:r w:rsidR="003D5893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pl-PL"/>
                    </w:rPr>
                    <w:t>a</w:t>
                  </w:r>
                </w:p>
                <w:p w:rsidR="009C5501" w:rsidRPr="00141C97" w:rsidRDefault="009C5501" w:rsidP="00AD48EC">
                  <w:pPr>
                    <w:suppressAutoHyphens w:val="0"/>
                    <w:overflowPunct/>
                    <w:autoSpaceDE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pl-PL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01" w:rsidRPr="00141C97" w:rsidRDefault="009C5501" w:rsidP="00AD48EC">
                  <w:pPr>
                    <w:suppressAutoHyphens w:val="0"/>
                    <w:overflowPunct/>
                    <w:autoSpaceDE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pl-PL"/>
                    </w:rPr>
                  </w:pPr>
                  <w:r w:rsidRPr="00141C97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pl-PL"/>
                    </w:rPr>
                    <w:t>3987</w:t>
                  </w:r>
                  <w:r w:rsidR="000532BC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pl-PL"/>
                    </w:rPr>
                    <w:t>,1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01" w:rsidRPr="00141C97" w:rsidRDefault="009C5501" w:rsidP="00AD48EC">
                  <w:pPr>
                    <w:suppressAutoHyphens w:val="0"/>
                    <w:overflowPunct/>
                    <w:autoSpaceDE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pl-PL"/>
                    </w:rPr>
                  </w:pPr>
                  <w:r w:rsidRPr="00141C97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pl-PL"/>
                    </w:rPr>
                    <w:t>100,8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01" w:rsidRPr="00141C97" w:rsidRDefault="009C5501" w:rsidP="00AD48EC">
                  <w:pPr>
                    <w:suppressAutoHyphens w:val="0"/>
                    <w:overflowPunct/>
                    <w:autoSpaceDE/>
                    <w:jc w:val="center"/>
                    <w:rPr>
                      <w:rFonts w:ascii="Calibri" w:hAnsi="Calibri" w:cs="Calibri"/>
                      <w:b/>
                      <w:color w:val="00B050"/>
                      <w:sz w:val="20"/>
                      <w:szCs w:val="22"/>
                      <w:lang w:eastAsia="pl-PL"/>
                    </w:rPr>
                  </w:pPr>
                  <w:r w:rsidRPr="00141C97">
                    <w:rPr>
                      <w:rFonts w:ascii="Calibri" w:hAnsi="Calibri" w:cs="Calibri"/>
                      <w:b/>
                      <w:color w:val="00B050"/>
                      <w:sz w:val="20"/>
                      <w:szCs w:val="22"/>
                      <w:lang w:eastAsia="pl-PL"/>
                    </w:rPr>
                    <w:t>+0,8%</w:t>
                  </w:r>
                </w:p>
              </w:tc>
            </w:tr>
            <w:tr w:rsidR="009C5501" w:rsidRPr="0024593F" w:rsidTr="00AD48EC">
              <w:trPr>
                <w:trHeight w:val="294"/>
                <w:jc w:val="center"/>
              </w:trPr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01" w:rsidRDefault="009C5501" w:rsidP="00AD48EC">
                  <w:pPr>
                    <w:suppressAutoHyphens w:val="0"/>
                    <w:overflowPunct/>
                    <w:autoSpaceDE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pl-PL"/>
                    </w:rPr>
                  </w:pPr>
                  <w:r w:rsidRPr="00141C97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pl-PL"/>
                    </w:rPr>
                    <w:t>Wina owocowe</w:t>
                  </w:r>
                </w:p>
                <w:p w:rsidR="009C5501" w:rsidRPr="00141C97" w:rsidRDefault="009C5501" w:rsidP="00AD48EC">
                  <w:pPr>
                    <w:suppressAutoHyphens w:val="0"/>
                    <w:overflowPunct/>
                    <w:autoSpaceDE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pl-PL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01" w:rsidRPr="00141C97" w:rsidRDefault="009C5501" w:rsidP="00AD48EC">
                  <w:pPr>
                    <w:suppressAutoHyphens w:val="0"/>
                    <w:overflowPunct/>
                    <w:autoSpaceDE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pl-PL"/>
                    </w:rPr>
                  </w:pPr>
                  <w:r w:rsidRPr="00141C97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pl-PL"/>
                    </w:rPr>
                    <w:t>98</w:t>
                  </w:r>
                  <w:r w:rsidR="000532BC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pl-PL"/>
                    </w:rPr>
                    <w:t>,</w:t>
                  </w:r>
                  <w:r w:rsidRPr="00141C97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pl-PL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01" w:rsidRPr="00141C97" w:rsidRDefault="009C5501" w:rsidP="00AD48EC">
                  <w:pPr>
                    <w:suppressAutoHyphens w:val="0"/>
                    <w:overflowPunct/>
                    <w:autoSpaceDE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pl-PL"/>
                    </w:rPr>
                  </w:pPr>
                  <w:r w:rsidRPr="00141C97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pl-PL"/>
                    </w:rPr>
                    <w:t>103,6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5501" w:rsidRPr="00141C97" w:rsidRDefault="009C5501" w:rsidP="00AD48EC">
                  <w:pPr>
                    <w:suppressAutoHyphens w:val="0"/>
                    <w:overflowPunct/>
                    <w:autoSpaceDE/>
                    <w:jc w:val="center"/>
                    <w:rPr>
                      <w:rFonts w:ascii="Calibri" w:hAnsi="Calibri" w:cs="Calibri"/>
                      <w:b/>
                      <w:color w:val="00B050"/>
                      <w:sz w:val="20"/>
                      <w:szCs w:val="22"/>
                      <w:lang w:eastAsia="pl-PL"/>
                    </w:rPr>
                  </w:pPr>
                  <w:r w:rsidRPr="00141C97">
                    <w:rPr>
                      <w:rFonts w:ascii="Calibri" w:hAnsi="Calibri" w:cs="Calibri"/>
                      <w:b/>
                      <w:color w:val="00B050"/>
                      <w:sz w:val="20"/>
                      <w:szCs w:val="22"/>
                      <w:lang w:eastAsia="pl-PL"/>
                    </w:rPr>
                    <w:t>+3,6%</w:t>
                  </w:r>
                </w:p>
              </w:tc>
            </w:tr>
            <w:tr w:rsidR="009C5501" w:rsidRPr="0024593F" w:rsidTr="00AD48EC">
              <w:trPr>
                <w:trHeight w:val="294"/>
                <w:jc w:val="center"/>
              </w:trPr>
              <w:tc>
                <w:tcPr>
                  <w:tcW w:w="1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01" w:rsidRDefault="009C5501" w:rsidP="00AD48EC">
                  <w:pPr>
                    <w:suppressAutoHyphens w:val="0"/>
                    <w:overflowPunct/>
                    <w:autoSpaceDE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pl-PL"/>
                    </w:rPr>
                  </w:pPr>
                  <w:r w:rsidRPr="00141C97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pl-PL"/>
                    </w:rPr>
                    <w:t>Wódk</w:t>
                  </w:r>
                  <w:r w:rsidR="003D5893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pl-PL"/>
                    </w:rPr>
                    <w:t>i</w:t>
                  </w:r>
                  <w:r w:rsidRPr="00141C97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pl-PL"/>
                    </w:rPr>
                    <w:t xml:space="preserve"> czyst</w:t>
                  </w:r>
                  <w:r w:rsidR="003D5893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pl-PL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pl-PL"/>
                    </w:rPr>
                    <w:t>*</w:t>
                  </w:r>
                </w:p>
                <w:p w:rsidR="009C5501" w:rsidRPr="00141C97" w:rsidRDefault="009C5501" w:rsidP="00AD48EC">
                  <w:pPr>
                    <w:suppressAutoHyphens w:val="0"/>
                    <w:overflowPunct/>
                    <w:autoSpaceDE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pl-PL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01" w:rsidRPr="00141C97" w:rsidRDefault="009C5501" w:rsidP="00AD48EC">
                  <w:pPr>
                    <w:suppressAutoHyphens w:val="0"/>
                    <w:overflowPunct/>
                    <w:autoSpaceDE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pl-PL"/>
                    </w:rPr>
                  </w:pPr>
                  <w:r w:rsidRPr="00141C97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pl-PL"/>
                    </w:rPr>
                    <w:t>87</w:t>
                  </w:r>
                  <w:r w:rsidR="000532BC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pl-PL"/>
                    </w:rPr>
                    <w:t>,</w:t>
                  </w:r>
                  <w:r w:rsidRPr="00141C97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pl-PL"/>
                    </w:rPr>
                    <w:t>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01" w:rsidRPr="00141C97" w:rsidRDefault="00125B1E" w:rsidP="00AD48EC">
                  <w:pPr>
                    <w:suppressAutoHyphens w:val="0"/>
                    <w:overflowPunct/>
                    <w:autoSpaceDE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pl-P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pl-PL"/>
                    </w:rPr>
                    <w:t>76</w:t>
                  </w:r>
                  <w:r w:rsidR="009C5501" w:rsidRPr="00141C97">
                    <w:rPr>
                      <w:rFonts w:ascii="Calibri" w:hAnsi="Calibri" w:cs="Calibri"/>
                      <w:color w:val="000000"/>
                      <w:sz w:val="20"/>
                      <w:szCs w:val="22"/>
                      <w:lang w:eastAsia="pl-PL"/>
                    </w:rPr>
                    <w:t>,2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5501" w:rsidRPr="00141C97" w:rsidRDefault="009C5501" w:rsidP="00AD48EC">
                  <w:pPr>
                    <w:suppressAutoHyphens w:val="0"/>
                    <w:overflowPunct/>
                    <w:autoSpaceDE/>
                    <w:jc w:val="center"/>
                    <w:rPr>
                      <w:rFonts w:ascii="Calibri" w:hAnsi="Calibri" w:cs="Calibri"/>
                      <w:b/>
                      <w:color w:val="FF0000"/>
                      <w:sz w:val="20"/>
                      <w:szCs w:val="22"/>
                      <w:lang w:eastAsia="pl-PL"/>
                    </w:rPr>
                  </w:pPr>
                  <w:r w:rsidRPr="00141C97">
                    <w:rPr>
                      <w:rFonts w:ascii="Calibri" w:hAnsi="Calibri" w:cs="Calibri"/>
                      <w:b/>
                      <w:color w:val="FF0000"/>
                      <w:sz w:val="20"/>
                      <w:szCs w:val="22"/>
                      <w:lang w:eastAsia="pl-PL"/>
                    </w:rPr>
                    <w:t>-23,8%</w:t>
                  </w:r>
                </w:p>
              </w:tc>
            </w:tr>
          </w:tbl>
          <w:p w:rsidR="000532BC" w:rsidRDefault="000532BC" w:rsidP="009C5501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0532BC" w:rsidRDefault="000532BC" w:rsidP="009C5501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0532BC" w:rsidRDefault="000532BC" w:rsidP="009C5501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0532BC" w:rsidRDefault="009C5501" w:rsidP="000532B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0532BC">
              <w:rPr>
                <w:rFonts w:cs="Arial"/>
                <w:i/>
                <w:color w:val="000000"/>
                <w:sz w:val="18"/>
                <w:szCs w:val="18"/>
              </w:rPr>
              <w:t>Dane: GUS, Biuletyn Statystyczny, wódka w l 100% alk</w:t>
            </w:r>
            <w:r w:rsidR="000532BC">
              <w:rPr>
                <w:rFonts w:cs="Arial"/>
                <w:i/>
                <w:color w:val="000000"/>
                <w:sz w:val="18"/>
                <w:szCs w:val="18"/>
              </w:rPr>
              <w:t>.</w:t>
            </w:r>
            <w:r w:rsidR="000532BC">
              <w:rPr>
                <w:rFonts w:cs="Arial"/>
                <w:b/>
                <w:color w:val="000000"/>
                <w:sz w:val="20"/>
              </w:rPr>
              <w:t xml:space="preserve"> </w:t>
            </w:r>
          </w:p>
          <w:p w:rsidR="009C5501" w:rsidRDefault="009C5501" w:rsidP="009C5501">
            <w:pPr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</w:tr>
    </w:tbl>
    <w:p w:rsidR="0096459F" w:rsidRDefault="0096459F" w:rsidP="002B56C3">
      <w:pPr>
        <w:jc w:val="center"/>
        <w:rPr>
          <w:rFonts w:cs="Arial"/>
          <w:color w:val="000000"/>
          <w:sz w:val="20"/>
        </w:rPr>
      </w:pPr>
    </w:p>
    <w:p w:rsidR="0096459F" w:rsidRPr="002B56C3" w:rsidRDefault="0096459F" w:rsidP="002B56C3">
      <w:pPr>
        <w:jc w:val="center"/>
        <w:rPr>
          <w:rFonts w:cs="Arial"/>
          <w:b/>
          <w:color w:val="000000"/>
          <w:sz w:val="18"/>
        </w:rPr>
      </w:pPr>
      <w:r w:rsidRPr="002D4BFB">
        <w:rPr>
          <w:rFonts w:cs="Arial"/>
          <w:b/>
          <w:color w:val="000000"/>
          <w:sz w:val="18"/>
        </w:rPr>
        <w:t xml:space="preserve">Produkcja </w:t>
      </w:r>
      <w:r w:rsidR="00AD48EC">
        <w:rPr>
          <w:rFonts w:cs="Arial"/>
          <w:b/>
          <w:color w:val="000000"/>
          <w:sz w:val="18"/>
        </w:rPr>
        <w:t>alkoholi w Polsce</w:t>
      </w:r>
      <w:r>
        <w:rPr>
          <w:rFonts w:cs="Arial"/>
          <w:b/>
          <w:color w:val="000000"/>
          <w:sz w:val="18"/>
        </w:rPr>
        <w:t xml:space="preserve"> </w:t>
      </w:r>
      <w:r w:rsidR="00AD48EC">
        <w:rPr>
          <w:rFonts w:cs="Arial"/>
          <w:b/>
          <w:color w:val="000000"/>
          <w:sz w:val="18"/>
        </w:rPr>
        <w:t>na statystycznego mieszkańca ( w l obj.)</w:t>
      </w:r>
    </w:p>
    <w:tbl>
      <w:tblPr>
        <w:tblW w:w="7395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65"/>
        <w:gridCol w:w="2465"/>
        <w:gridCol w:w="2465"/>
      </w:tblGrid>
      <w:tr w:rsidR="002B56C3" w:rsidRPr="00AD48EC" w:rsidTr="002B56C3">
        <w:trPr>
          <w:trHeight w:val="294"/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C3" w:rsidRPr="00AD48EC" w:rsidRDefault="002B56C3" w:rsidP="003D5893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AD48EC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Piw</w:t>
            </w:r>
            <w:r w:rsidR="003D5893" w:rsidRPr="00AD48EC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a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C3" w:rsidRPr="00AD48EC" w:rsidRDefault="003D5893" w:rsidP="002B56C3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AD48EC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W</w:t>
            </w:r>
            <w:r w:rsidR="002B56C3" w:rsidRPr="00AD48EC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in</w:t>
            </w:r>
            <w:r w:rsidRPr="00AD48EC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a owocowe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C3" w:rsidRPr="00AD48EC" w:rsidRDefault="003D5893" w:rsidP="003D5893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AD48EC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W</w:t>
            </w:r>
            <w:r w:rsidR="002B56C3" w:rsidRPr="00AD48EC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ódk</w:t>
            </w:r>
            <w:r w:rsidRPr="00AD48EC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i czyste</w:t>
            </w:r>
          </w:p>
        </w:tc>
      </w:tr>
      <w:tr w:rsidR="002B56C3" w:rsidRPr="00AD48EC" w:rsidTr="002B56C3">
        <w:trPr>
          <w:trHeight w:val="294"/>
          <w:jc w:val="center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C3" w:rsidRPr="00AD48EC" w:rsidRDefault="00AD48EC" w:rsidP="00AD48EC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D48EC">
              <w:rPr>
                <w:rFonts w:ascii="Calibri" w:hAnsi="Calibri" w:cs="Calibri"/>
                <w:color w:val="000000"/>
                <w:sz w:val="20"/>
                <w:szCs w:val="22"/>
              </w:rPr>
              <w:t>103,57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C3" w:rsidRPr="00AD48EC" w:rsidRDefault="00AD48EC" w:rsidP="00AD48EC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AD48EC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2,55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C3" w:rsidRPr="00AD48EC" w:rsidRDefault="00AD48EC" w:rsidP="00AD48EC">
            <w:pPr>
              <w:suppressAutoHyphens w:val="0"/>
              <w:overflowPunct/>
              <w:autoSpaceDE/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</w:pPr>
            <w:r w:rsidRPr="00AD48EC">
              <w:rPr>
                <w:rFonts w:ascii="Calibri" w:hAnsi="Calibri" w:cs="Calibri"/>
                <w:color w:val="000000"/>
                <w:sz w:val="20"/>
                <w:szCs w:val="22"/>
                <w:lang w:eastAsia="pl-PL"/>
              </w:rPr>
              <w:t>5,71</w:t>
            </w:r>
          </w:p>
        </w:tc>
      </w:tr>
    </w:tbl>
    <w:p w:rsidR="002B56C3" w:rsidRDefault="002B56C3" w:rsidP="002B56C3">
      <w:pPr>
        <w:jc w:val="center"/>
        <w:rPr>
          <w:rFonts w:cs="Arial"/>
          <w:color w:val="000000"/>
          <w:sz w:val="20"/>
        </w:rPr>
      </w:pPr>
      <w:r w:rsidRPr="00141C97">
        <w:rPr>
          <w:rFonts w:cs="Arial"/>
          <w:i/>
          <w:color w:val="000000"/>
          <w:sz w:val="18"/>
          <w:szCs w:val="18"/>
        </w:rPr>
        <w:t>Dane: GUS, Biuletyn Stat</w:t>
      </w:r>
      <w:r>
        <w:rPr>
          <w:rFonts w:cs="Arial"/>
          <w:i/>
          <w:color w:val="000000"/>
          <w:sz w:val="18"/>
          <w:szCs w:val="18"/>
        </w:rPr>
        <w:t>ystyczny + obliczenia własne ZP PPS</w:t>
      </w:r>
    </w:p>
    <w:p w:rsidR="0096459F" w:rsidRDefault="0096459F" w:rsidP="0010652C">
      <w:pPr>
        <w:jc w:val="both"/>
        <w:rPr>
          <w:rFonts w:cs="Arial"/>
          <w:color w:val="000000"/>
          <w:sz w:val="20"/>
        </w:rPr>
      </w:pPr>
    </w:p>
    <w:p w:rsidR="0033249C" w:rsidRDefault="0033249C" w:rsidP="00C21AF6">
      <w:pPr>
        <w:shd w:val="clear" w:color="auto" w:fill="FFFFFF"/>
        <w:jc w:val="center"/>
        <w:rPr>
          <w:rFonts w:cs="Arial"/>
          <w:color w:val="000000"/>
          <w:sz w:val="20"/>
        </w:rPr>
      </w:pPr>
    </w:p>
    <w:p w:rsidR="009A5DAF" w:rsidRDefault="009A5DAF" w:rsidP="00C21AF6">
      <w:pPr>
        <w:shd w:val="clear" w:color="auto" w:fill="FFFFFF"/>
        <w:jc w:val="center"/>
        <w:rPr>
          <w:rFonts w:cs="Arial"/>
          <w:sz w:val="20"/>
        </w:rPr>
      </w:pPr>
      <w:r>
        <w:rPr>
          <w:rFonts w:cs="Arial"/>
          <w:sz w:val="20"/>
        </w:rPr>
        <w:t>***</w:t>
      </w:r>
    </w:p>
    <w:p w:rsidR="002D4BFB" w:rsidRPr="00667815" w:rsidRDefault="00ED2180" w:rsidP="00C21AF6">
      <w:pPr>
        <w:pStyle w:val="NormalnyWeb"/>
        <w:jc w:val="both"/>
        <w:rPr>
          <w:rFonts w:ascii="Arial" w:hAnsi="Arial" w:cs="Arial"/>
          <w:color w:val="000000"/>
          <w:sz w:val="18"/>
          <w:szCs w:val="18"/>
        </w:rPr>
      </w:pPr>
      <w:r w:rsidRPr="00851C54">
        <w:rPr>
          <w:rFonts w:ascii="Arial" w:hAnsi="Arial" w:cs="Arial"/>
          <w:b/>
          <w:color w:val="000000"/>
          <w:sz w:val="18"/>
          <w:szCs w:val="18"/>
        </w:rPr>
        <w:t>Związek Pracodawców Polski Przemysł Spirytusowy</w:t>
      </w:r>
      <w:r w:rsidRPr="00851C54">
        <w:rPr>
          <w:rFonts w:ascii="Arial" w:hAnsi="Arial" w:cs="Arial"/>
          <w:color w:val="000000"/>
          <w:sz w:val="18"/>
          <w:szCs w:val="18"/>
        </w:rPr>
        <w:t xml:space="preserve"> jest organizacją branżową zrzeszającą producentów napojów spirytusowych. Do jego zadań należy podejmowanie działań ukierunkowanych na rozwój branży spirytusowej w Polsce i za granicą poprzez współpracę z przedstawicielami władzy publicznej oraz organizacjami społecznymi. ZP PPS zajmuje się przede wszystkim kwestiami związanymi z tworzeniem odpowiednich warunków prawnych i ekonomicznych dla rozwoju branży, umacnianiem wielowiekowej tradycji wyrobów spirytusowych, promowaniem nowych technologii oraz realizacją działań z zakresu społecznej odpowiedzialności biznesu w branży spirytusowej. Podejmuje również szerokie działania edukacyjne mające na celu rozpowszechnienie wiedzy na temat zagrożeń związanych z jego nieodpowiedzialną konsumpcją i sprzedażą alkoholu. Członkami ZP PPS są: </w:t>
      </w:r>
      <w:proofErr w:type="spellStart"/>
      <w:r w:rsidR="00B15A5D" w:rsidRPr="00B15A5D">
        <w:rPr>
          <w:rFonts w:ascii="Arial" w:hAnsi="Arial" w:cs="Arial"/>
          <w:color w:val="000000"/>
          <w:sz w:val="18"/>
          <w:szCs w:val="18"/>
        </w:rPr>
        <w:t>Akwawit-Polmos</w:t>
      </w:r>
      <w:proofErr w:type="spellEnd"/>
      <w:r w:rsidR="00B15A5D" w:rsidRPr="00B15A5D">
        <w:rPr>
          <w:rFonts w:ascii="Arial" w:hAnsi="Arial" w:cs="Arial"/>
          <w:color w:val="000000"/>
          <w:sz w:val="18"/>
          <w:szCs w:val="18"/>
        </w:rPr>
        <w:t xml:space="preserve"> S.A.</w:t>
      </w:r>
      <w:r w:rsidR="00B15A5D">
        <w:rPr>
          <w:rFonts w:ascii="Arial" w:hAnsi="Arial" w:cs="Arial"/>
          <w:color w:val="000000"/>
          <w:sz w:val="18"/>
          <w:szCs w:val="18"/>
        </w:rPr>
        <w:t>,</w:t>
      </w:r>
      <w:r w:rsidR="00B15A5D" w:rsidRPr="00B15A5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851C54">
        <w:rPr>
          <w:rFonts w:ascii="Arial" w:hAnsi="Arial" w:cs="Arial"/>
          <w:color w:val="000000"/>
          <w:sz w:val="18"/>
          <w:szCs w:val="18"/>
        </w:rPr>
        <w:t>Bacardi</w:t>
      </w:r>
      <w:proofErr w:type="spellEnd"/>
      <w:r w:rsidRPr="00851C54">
        <w:rPr>
          <w:rFonts w:ascii="Arial" w:hAnsi="Arial" w:cs="Arial"/>
          <w:color w:val="000000"/>
          <w:sz w:val="18"/>
          <w:szCs w:val="18"/>
        </w:rPr>
        <w:t xml:space="preserve"> Martini Polska, </w:t>
      </w:r>
      <w:r w:rsidR="006E1E2F">
        <w:rPr>
          <w:rFonts w:ascii="Arial" w:hAnsi="Arial" w:cs="Arial"/>
          <w:color w:val="000000"/>
          <w:sz w:val="18"/>
          <w:szCs w:val="18"/>
        </w:rPr>
        <w:t xml:space="preserve">Baczewski J.A., </w:t>
      </w:r>
      <w:r w:rsidRPr="00851C54">
        <w:rPr>
          <w:rFonts w:ascii="Arial" w:hAnsi="Arial" w:cs="Arial"/>
          <w:color w:val="000000"/>
          <w:sz w:val="18"/>
          <w:szCs w:val="18"/>
        </w:rPr>
        <w:t xml:space="preserve">Brown Forman Polska, </w:t>
      </w:r>
      <w:proofErr w:type="spellStart"/>
      <w:r w:rsidRPr="00851C54">
        <w:rPr>
          <w:rFonts w:ascii="Arial" w:hAnsi="Arial" w:cs="Arial"/>
          <w:color w:val="000000"/>
          <w:sz w:val="18"/>
          <w:szCs w:val="18"/>
        </w:rPr>
        <w:t>Diageo</w:t>
      </w:r>
      <w:proofErr w:type="spellEnd"/>
      <w:r w:rsidRPr="00851C54">
        <w:rPr>
          <w:rFonts w:ascii="Arial" w:hAnsi="Arial" w:cs="Arial"/>
          <w:color w:val="000000"/>
          <w:sz w:val="18"/>
          <w:szCs w:val="18"/>
        </w:rPr>
        <w:t xml:space="preserve"> Polska, Komers International, Mazurskie Miody, </w:t>
      </w:r>
      <w:r w:rsidR="004B3565">
        <w:rPr>
          <w:rFonts w:ascii="Arial" w:hAnsi="Arial" w:cs="Arial"/>
          <w:color w:val="000000"/>
          <w:sz w:val="18"/>
          <w:szCs w:val="18"/>
        </w:rPr>
        <w:t xml:space="preserve">Nalewki Staropolskie, 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Pr="00DC4EA7">
        <w:rPr>
          <w:rFonts w:ascii="Arial" w:hAnsi="Arial" w:cs="Arial"/>
          <w:color w:val="000000"/>
          <w:sz w:val="18"/>
          <w:szCs w:val="18"/>
        </w:rPr>
        <w:t>PHP Wiesław Wawrzyniak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51C54">
        <w:rPr>
          <w:rFonts w:ascii="Arial" w:hAnsi="Arial" w:cs="Arial"/>
          <w:color w:val="000000"/>
          <w:sz w:val="18"/>
          <w:szCs w:val="18"/>
        </w:rPr>
        <w:t xml:space="preserve"> Polmos Siedlce, Polmos Żyrardów, Polmos</w:t>
      </w:r>
      <w:r w:rsidR="00B15A5D">
        <w:rPr>
          <w:rFonts w:ascii="Arial" w:hAnsi="Arial" w:cs="Arial"/>
          <w:color w:val="000000"/>
          <w:sz w:val="18"/>
          <w:szCs w:val="18"/>
        </w:rPr>
        <w:t xml:space="preserve"> Warszawa, </w:t>
      </w:r>
      <w:r w:rsidRPr="00D13611">
        <w:rPr>
          <w:rFonts w:ascii="Arial" w:hAnsi="Arial" w:cs="Arial"/>
          <w:color w:val="000000"/>
          <w:sz w:val="18"/>
          <w:szCs w:val="18"/>
        </w:rPr>
        <w:t>PPUH Tłocznia Mau</w:t>
      </w:r>
      <w:r>
        <w:rPr>
          <w:rFonts w:ascii="Arial" w:hAnsi="Arial" w:cs="Arial"/>
          <w:color w:val="000000"/>
          <w:sz w:val="18"/>
          <w:szCs w:val="18"/>
        </w:rPr>
        <w:t>r</w:t>
      </w:r>
      <w:r w:rsidRPr="00D13611">
        <w:rPr>
          <w:rFonts w:ascii="Arial" w:hAnsi="Arial" w:cs="Arial"/>
          <w:color w:val="000000"/>
          <w:sz w:val="18"/>
          <w:szCs w:val="18"/>
        </w:rPr>
        <w:t>er</w:t>
      </w:r>
      <w:r>
        <w:rPr>
          <w:rFonts w:ascii="Arial" w:hAnsi="Arial" w:cs="Arial"/>
          <w:color w:val="000000"/>
          <w:sz w:val="18"/>
          <w:szCs w:val="18"/>
        </w:rPr>
        <w:t xml:space="preserve">, Stock Polska, </w:t>
      </w:r>
      <w:r w:rsidR="00F76B53">
        <w:rPr>
          <w:rFonts w:ascii="Arial" w:hAnsi="Arial" w:cs="Arial"/>
          <w:color w:val="000000"/>
          <w:sz w:val="18"/>
          <w:szCs w:val="18"/>
        </w:rPr>
        <w:t xml:space="preserve">Warszawska Wytwórnia Wódek Koneser, </w:t>
      </w:r>
      <w:r w:rsidR="004B3565">
        <w:rPr>
          <w:rFonts w:ascii="Arial" w:hAnsi="Arial" w:cs="Arial"/>
          <w:color w:val="000000"/>
          <w:sz w:val="18"/>
          <w:szCs w:val="18"/>
        </w:rPr>
        <w:t xml:space="preserve">Wyborowa Pernod Ricard,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Vinpol</w:t>
      </w:r>
      <w:proofErr w:type="spellEnd"/>
      <w:r w:rsidRPr="00851C54">
        <w:rPr>
          <w:rFonts w:ascii="Arial" w:hAnsi="Arial" w:cs="Arial"/>
          <w:color w:val="000000"/>
          <w:sz w:val="18"/>
          <w:szCs w:val="18"/>
        </w:rPr>
        <w:t>.</w:t>
      </w:r>
    </w:p>
    <w:sectPr w:rsidR="002D4BFB" w:rsidRPr="00667815" w:rsidSect="00C62E03">
      <w:footerReference w:type="default" r:id="rId10"/>
      <w:type w:val="continuous"/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51B" w:rsidRDefault="00CF151B">
      <w:r>
        <w:separator/>
      </w:r>
    </w:p>
  </w:endnote>
  <w:endnote w:type="continuationSeparator" w:id="0">
    <w:p w:rsidR="00CF151B" w:rsidRDefault="00CF1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DB" w:rsidRDefault="00AC3CDB" w:rsidP="00B43B7F"/>
  <w:p w:rsidR="00AC3CDB" w:rsidRPr="00BF6C6E" w:rsidRDefault="00AC3CDB" w:rsidP="00B43B7F">
    <w:pPr>
      <w:pBdr>
        <w:top w:val="single" w:sz="4" w:space="1" w:color="auto"/>
      </w:pBdr>
      <w:rPr>
        <w:color w:val="808080"/>
        <w:sz w:val="16"/>
        <w:szCs w:val="16"/>
      </w:rPr>
    </w:pPr>
    <w:r>
      <w:rPr>
        <w:sz w:val="16"/>
        <w:szCs w:val="16"/>
      </w:rPr>
      <w:t xml:space="preserve"> </w:t>
    </w:r>
  </w:p>
  <w:p w:rsidR="00AC3CDB" w:rsidRDefault="00AC3CDB" w:rsidP="00B43B7F">
    <w:pPr>
      <w:rPr>
        <w:color w:val="5F5F5F"/>
        <w:sz w:val="16"/>
      </w:rPr>
    </w:pPr>
    <w:r w:rsidRPr="007A55A7">
      <w:rPr>
        <w:color w:val="5F5F5F"/>
        <w:sz w:val="16"/>
      </w:rPr>
      <w:t xml:space="preserve">                                                                                          </w:t>
    </w:r>
    <w:r>
      <w:rPr>
        <w:color w:val="5F5F5F"/>
        <w:sz w:val="16"/>
      </w:rPr>
      <w:t xml:space="preserve">                                                                                        </w:t>
    </w:r>
    <w:r w:rsidRPr="007A55A7">
      <w:rPr>
        <w:color w:val="5F5F5F"/>
        <w:sz w:val="16"/>
      </w:rPr>
      <w:t xml:space="preserve">  </w:t>
    </w:r>
    <w:r>
      <w:rPr>
        <w:color w:val="5F5F5F"/>
        <w:sz w:val="16"/>
      </w:rPr>
      <w:t xml:space="preserve">                                     </w:t>
    </w:r>
  </w:p>
  <w:p w:rsidR="00AC3CDB" w:rsidRPr="005F38A4" w:rsidRDefault="00AC3CDB" w:rsidP="006116A2">
    <w:pPr>
      <w:rPr>
        <w:rFonts w:cs="Arial"/>
        <w:sz w:val="18"/>
        <w:szCs w:val="18"/>
      </w:rPr>
    </w:pPr>
    <w:r w:rsidRPr="005F38A4">
      <w:rPr>
        <w:rFonts w:cs="Arial"/>
        <w:sz w:val="18"/>
        <w:szCs w:val="18"/>
      </w:rPr>
      <w:t xml:space="preserve">KONTAKT: </w:t>
    </w:r>
  </w:p>
  <w:p w:rsidR="00AC3CDB" w:rsidRPr="005F38A4" w:rsidRDefault="00AC3CDB" w:rsidP="006116A2">
    <w:pPr>
      <w:rPr>
        <w:rFonts w:cs="Arial"/>
        <w:noProof/>
        <w:sz w:val="18"/>
        <w:szCs w:val="18"/>
        <w:lang w:eastAsia="pl-PL"/>
      </w:rPr>
    </w:pPr>
    <w:bookmarkStart w:id="0" w:name="_MailAutoSig"/>
    <w:r>
      <w:rPr>
        <w:rFonts w:cs="Arial"/>
        <w:noProof/>
        <w:sz w:val="18"/>
        <w:szCs w:val="18"/>
        <w:lang w:eastAsia="pl-PL"/>
      </w:rPr>
      <w:t>Iga Wasilewicz,</w:t>
    </w:r>
    <w:r w:rsidRPr="005F38A4">
      <w:rPr>
        <w:rFonts w:cs="Arial"/>
        <w:noProof/>
        <w:sz w:val="18"/>
        <w:szCs w:val="18"/>
        <w:lang w:eastAsia="pl-PL"/>
      </w:rPr>
      <w:t xml:space="preserve"> Związek Pracodawców Polski Przemysł Spirytusowy</w:t>
    </w:r>
  </w:p>
  <w:p w:rsidR="00AC3CDB" w:rsidRPr="005F38A4" w:rsidRDefault="00AC3CDB" w:rsidP="006116A2">
    <w:pPr>
      <w:rPr>
        <w:rFonts w:cs="Arial"/>
        <w:noProof/>
        <w:sz w:val="18"/>
        <w:szCs w:val="18"/>
        <w:lang w:val="en-US" w:eastAsia="pl-PL"/>
      </w:rPr>
    </w:pPr>
    <w:r>
      <w:rPr>
        <w:rFonts w:cs="Arial"/>
        <w:noProof/>
        <w:sz w:val="18"/>
        <w:szCs w:val="18"/>
        <w:lang w:val="en-US" w:eastAsia="pl-PL"/>
      </w:rPr>
      <w:t>tel. 22 630 98 87, e-mail: i.wasilewicz@</w:t>
    </w:r>
    <w:r w:rsidRPr="005F38A4">
      <w:rPr>
        <w:rFonts w:cs="Arial"/>
        <w:noProof/>
        <w:sz w:val="18"/>
        <w:szCs w:val="18"/>
        <w:lang w:val="en-US" w:eastAsia="pl-PL"/>
      </w:rPr>
      <w:t>pps.</w:t>
    </w:r>
    <w:r>
      <w:rPr>
        <w:rFonts w:cs="Arial"/>
        <w:noProof/>
        <w:sz w:val="18"/>
        <w:szCs w:val="18"/>
        <w:lang w:val="en-US" w:eastAsia="pl-PL"/>
      </w:rPr>
      <w:t>waw.</w:t>
    </w:r>
    <w:r w:rsidRPr="005F38A4">
      <w:rPr>
        <w:rFonts w:cs="Arial"/>
        <w:noProof/>
        <w:sz w:val="18"/>
        <w:szCs w:val="18"/>
        <w:lang w:val="en-US" w:eastAsia="pl-PL"/>
      </w:rPr>
      <w:t>pl</w:t>
    </w:r>
  </w:p>
  <w:p w:rsidR="00AC3CDB" w:rsidRPr="005F38A4" w:rsidRDefault="00AC3CDB" w:rsidP="006116A2">
    <w:pPr>
      <w:rPr>
        <w:rFonts w:cs="Arial"/>
        <w:noProof/>
        <w:sz w:val="18"/>
        <w:szCs w:val="18"/>
        <w:lang w:eastAsia="pl-PL"/>
      </w:rPr>
    </w:pPr>
    <w:r w:rsidRPr="005F38A4">
      <w:rPr>
        <w:rFonts w:cs="Arial"/>
        <w:noProof/>
        <w:sz w:val="18"/>
        <w:szCs w:val="18"/>
        <w:lang w:eastAsia="pl-PL"/>
      </w:rPr>
      <w:t>ul. Trębacka 4, lok. 338 – 342, 00-074 Warszawa</w:t>
    </w:r>
  </w:p>
  <w:p w:rsidR="00AC3CDB" w:rsidRPr="005F38A4" w:rsidRDefault="000A774D" w:rsidP="006116A2">
    <w:pPr>
      <w:rPr>
        <w:rFonts w:cs="Arial"/>
        <w:noProof/>
        <w:sz w:val="18"/>
        <w:szCs w:val="18"/>
        <w:lang w:eastAsia="pl-PL"/>
      </w:rPr>
    </w:pPr>
    <w:hyperlink r:id="rId1" w:history="1">
      <w:r w:rsidR="00AC3CDB" w:rsidRPr="005F38A4">
        <w:rPr>
          <w:rStyle w:val="Hipercze"/>
          <w:rFonts w:cs="Arial"/>
          <w:noProof/>
          <w:sz w:val="18"/>
          <w:szCs w:val="18"/>
          <w:lang w:eastAsia="pl-PL"/>
        </w:rPr>
        <w:t>www.pps.waw.pl</w:t>
      </w:r>
    </w:hyperlink>
    <w:r w:rsidR="00AC3CDB" w:rsidRPr="005F38A4">
      <w:rPr>
        <w:rFonts w:cs="Arial"/>
        <w:sz w:val="18"/>
        <w:szCs w:val="18"/>
      </w:rPr>
      <w:t xml:space="preserve"> </w:t>
    </w:r>
  </w:p>
  <w:bookmarkEnd w:id="0"/>
  <w:p w:rsidR="00AC3CDB" w:rsidRDefault="00AC3C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51B" w:rsidRDefault="00CF151B">
      <w:r>
        <w:separator/>
      </w:r>
    </w:p>
  </w:footnote>
  <w:footnote w:type="continuationSeparator" w:id="0">
    <w:p w:rsidR="00CF151B" w:rsidRDefault="00CF1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13D17325"/>
    <w:multiLevelType w:val="hybridMultilevel"/>
    <w:tmpl w:val="EC7CD8F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BE5A0E"/>
    <w:multiLevelType w:val="hybridMultilevel"/>
    <w:tmpl w:val="DA406D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7852FB"/>
    <w:multiLevelType w:val="hybridMultilevel"/>
    <w:tmpl w:val="684E06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180759"/>
    <w:multiLevelType w:val="hybridMultilevel"/>
    <w:tmpl w:val="432087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CB2AAE"/>
    <w:multiLevelType w:val="hybridMultilevel"/>
    <w:tmpl w:val="44921F2A"/>
    <w:lvl w:ilvl="0" w:tplc="D7AA0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AF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A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27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A3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4C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0D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72A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AA7785B"/>
    <w:multiLevelType w:val="hybridMultilevel"/>
    <w:tmpl w:val="3E90A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97114"/>
    <w:multiLevelType w:val="hybridMultilevel"/>
    <w:tmpl w:val="77C2D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3B0489"/>
    <w:multiLevelType w:val="hybridMultilevel"/>
    <w:tmpl w:val="FA9A95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E06D1"/>
    <w:multiLevelType w:val="hybridMultilevel"/>
    <w:tmpl w:val="41D274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3287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55BF8"/>
    <w:rsid w:val="0000041A"/>
    <w:rsid w:val="00001A77"/>
    <w:rsid w:val="000025EA"/>
    <w:rsid w:val="000026BC"/>
    <w:rsid w:val="0001049F"/>
    <w:rsid w:val="00012A3A"/>
    <w:rsid w:val="00013EF7"/>
    <w:rsid w:val="000161F2"/>
    <w:rsid w:val="00025864"/>
    <w:rsid w:val="000263E1"/>
    <w:rsid w:val="000265A1"/>
    <w:rsid w:val="00032D0F"/>
    <w:rsid w:val="00037C38"/>
    <w:rsid w:val="00040F22"/>
    <w:rsid w:val="0004136D"/>
    <w:rsid w:val="000458F6"/>
    <w:rsid w:val="00045CBD"/>
    <w:rsid w:val="00046858"/>
    <w:rsid w:val="000532BC"/>
    <w:rsid w:val="00055EBA"/>
    <w:rsid w:val="00057A32"/>
    <w:rsid w:val="00062194"/>
    <w:rsid w:val="00063222"/>
    <w:rsid w:val="0006326C"/>
    <w:rsid w:val="0006331D"/>
    <w:rsid w:val="000669AF"/>
    <w:rsid w:val="00066CA8"/>
    <w:rsid w:val="00077921"/>
    <w:rsid w:val="00077E9E"/>
    <w:rsid w:val="00080253"/>
    <w:rsid w:val="0008087F"/>
    <w:rsid w:val="00080F56"/>
    <w:rsid w:val="00081872"/>
    <w:rsid w:val="000827EE"/>
    <w:rsid w:val="00087BE9"/>
    <w:rsid w:val="000901BE"/>
    <w:rsid w:val="000955ED"/>
    <w:rsid w:val="000971D4"/>
    <w:rsid w:val="000A5360"/>
    <w:rsid w:val="000A691A"/>
    <w:rsid w:val="000A774D"/>
    <w:rsid w:val="000B503B"/>
    <w:rsid w:val="000C0767"/>
    <w:rsid w:val="000C15BC"/>
    <w:rsid w:val="000C162A"/>
    <w:rsid w:val="000C195B"/>
    <w:rsid w:val="000C45BA"/>
    <w:rsid w:val="000D18D7"/>
    <w:rsid w:val="000D42DE"/>
    <w:rsid w:val="000E0D0D"/>
    <w:rsid w:val="000E5D36"/>
    <w:rsid w:val="000E629D"/>
    <w:rsid w:val="000E6D4E"/>
    <w:rsid w:val="000F09F4"/>
    <w:rsid w:val="000F2F65"/>
    <w:rsid w:val="000F6537"/>
    <w:rsid w:val="000F6987"/>
    <w:rsid w:val="000F6FD8"/>
    <w:rsid w:val="0010395A"/>
    <w:rsid w:val="001055FC"/>
    <w:rsid w:val="0010652C"/>
    <w:rsid w:val="001067E6"/>
    <w:rsid w:val="00114DA1"/>
    <w:rsid w:val="001171E0"/>
    <w:rsid w:val="00120CEA"/>
    <w:rsid w:val="001241FC"/>
    <w:rsid w:val="001259F3"/>
    <w:rsid w:val="00125B1E"/>
    <w:rsid w:val="00126A2A"/>
    <w:rsid w:val="00126CDF"/>
    <w:rsid w:val="0013504A"/>
    <w:rsid w:val="00135D65"/>
    <w:rsid w:val="00135DD1"/>
    <w:rsid w:val="00141C97"/>
    <w:rsid w:val="001548DD"/>
    <w:rsid w:val="00165A3B"/>
    <w:rsid w:val="00167C9C"/>
    <w:rsid w:val="00170E3D"/>
    <w:rsid w:val="00174E20"/>
    <w:rsid w:val="00182229"/>
    <w:rsid w:val="001879B9"/>
    <w:rsid w:val="0019003E"/>
    <w:rsid w:val="001912B9"/>
    <w:rsid w:val="00192BD7"/>
    <w:rsid w:val="00193301"/>
    <w:rsid w:val="001941CF"/>
    <w:rsid w:val="00196525"/>
    <w:rsid w:val="0019666E"/>
    <w:rsid w:val="00196986"/>
    <w:rsid w:val="00196A74"/>
    <w:rsid w:val="001A19F4"/>
    <w:rsid w:val="001A5D94"/>
    <w:rsid w:val="001B1D78"/>
    <w:rsid w:val="001B259A"/>
    <w:rsid w:val="001B26EA"/>
    <w:rsid w:val="001B46BF"/>
    <w:rsid w:val="001B4D10"/>
    <w:rsid w:val="001B541E"/>
    <w:rsid w:val="001B59E6"/>
    <w:rsid w:val="001B614C"/>
    <w:rsid w:val="001C2E3C"/>
    <w:rsid w:val="001C716F"/>
    <w:rsid w:val="001C7620"/>
    <w:rsid w:val="001D0333"/>
    <w:rsid w:val="001D2C88"/>
    <w:rsid w:val="001D733F"/>
    <w:rsid w:val="001E00B9"/>
    <w:rsid w:val="001E1851"/>
    <w:rsid w:val="001E61EB"/>
    <w:rsid w:val="001E6654"/>
    <w:rsid w:val="001E6F2D"/>
    <w:rsid w:val="001E74AF"/>
    <w:rsid w:val="001F3074"/>
    <w:rsid w:val="001F3B98"/>
    <w:rsid w:val="001F5623"/>
    <w:rsid w:val="001F57E5"/>
    <w:rsid w:val="001F7330"/>
    <w:rsid w:val="00202BD9"/>
    <w:rsid w:val="00202F47"/>
    <w:rsid w:val="00204C05"/>
    <w:rsid w:val="0020504C"/>
    <w:rsid w:val="00207650"/>
    <w:rsid w:val="00213D18"/>
    <w:rsid w:val="00217684"/>
    <w:rsid w:val="00220117"/>
    <w:rsid w:val="00220781"/>
    <w:rsid w:val="00222791"/>
    <w:rsid w:val="00225B5E"/>
    <w:rsid w:val="00226734"/>
    <w:rsid w:val="00230614"/>
    <w:rsid w:val="0023202A"/>
    <w:rsid w:val="002328F7"/>
    <w:rsid w:val="00233D20"/>
    <w:rsid w:val="00234A91"/>
    <w:rsid w:val="00237807"/>
    <w:rsid w:val="002403B3"/>
    <w:rsid w:val="0024213B"/>
    <w:rsid w:val="00245422"/>
    <w:rsid w:val="0024593F"/>
    <w:rsid w:val="002479B6"/>
    <w:rsid w:val="00255FF6"/>
    <w:rsid w:val="00256CCE"/>
    <w:rsid w:val="002573D7"/>
    <w:rsid w:val="0026062B"/>
    <w:rsid w:val="00271FCF"/>
    <w:rsid w:val="002765ED"/>
    <w:rsid w:val="00276837"/>
    <w:rsid w:val="00276D0B"/>
    <w:rsid w:val="0027720C"/>
    <w:rsid w:val="002779D6"/>
    <w:rsid w:val="00280238"/>
    <w:rsid w:val="00280E75"/>
    <w:rsid w:val="0028187B"/>
    <w:rsid w:val="00283277"/>
    <w:rsid w:val="00283FC9"/>
    <w:rsid w:val="002842ED"/>
    <w:rsid w:val="00286AC2"/>
    <w:rsid w:val="00290EB4"/>
    <w:rsid w:val="0029101F"/>
    <w:rsid w:val="00294A8D"/>
    <w:rsid w:val="002956B7"/>
    <w:rsid w:val="002A2D47"/>
    <w:rsid w:val="002A4E40"/>
    <w:rsid w:val="002A4E89"/>
    <w:rsid w:val="002A6C2E"/>
    <w:rsid w:val="002B1CB8"/>
    <w:rsid w:val="002B265B"/>
    <w:rsid w:val="002B56C3"/>
    <w:rsid w:val="002C6247"/>
    <w:rsid w:val="002D3658"/>
    <w:rsid w:val="002D4BFB"/>
    <w:rsid w:val="002D5FE0"/>
    <w:rsid w:val="002D6176"/>
    <w:rsid w:val="002D7957"/>
    <w:rsid w:val="002E1B91"/>
    <w:rsid w:val="002E255D"/>
    <w:rsid w:val="002E4CBA"/>
    <w:rsid w:val="002F47BF"/>
    <w:rsid w:val="002F509D"/>
    <w:rsid w:val="002F5A7A"/>
    <w:rsid w:val="002F5D02"/>
    <w:rsid w:val="002F615B"/>
    <w:rsid w:val="0030212C"/>
    <w:rsid w:val="00302DBC"/>
    <w:rsid w:val="00304633"/>
    <w:rsid w:val="00306533"/>
    <w:rsid w:val="00311AA9"/>
    <w:rsid w:val="00313414"/>
    <w:rsid w:val="00313A2B"/>
    <w:rsid w:val="00314AFE"/>
    <w:rsid w:val="0031687B"/>
    <w:rsid w:val="00321033"/>
    <w:rsid w:val="00321BF9"/>
    <w:rsid w:val="00322AA6"/>
    <w:rsid w:val="003238D2"/>
    <w:rsid w:val="00325E46"/>
    <w:rsid w:val="0032671A"/>
    <w:rsid w:val="00326734"/>
    <w:rsid w:val="0033249C"/>
    <w:rsid w:val="003340E8"/>
    <w:rsid w:val="00343994"/>
    <w:rsid w:val="00346658"/>
    <w:rsid w:val="003467F3"/>
    <w:rsid w:val="00347C18"/>
    <w:rsid w:val="00351AFD"/>
    <w:rsid w:val="00352BFC"/>
    <w:rsid w:val="00355124"/>
    <w:rsid w:val="00356B0D"/>
    <w:rsid w:val="00356C9B"/>
    <w:rsid w:val="00357835"/>
    <w:rsid w:val="00362B39"/>
    <w:rsid w:val="00374AFE"/>
    <w:rsid w:val="0037662C"/>
    <w:rsid w:val="00377245"/>
    <w:rsid w:val="00377360"/>
    <w:rsid w:val="00377956"/>
    <w:rsid w:val="00381028"/>
    <w:rsid w:val="00383783"/>
    <w:rsid w:val="00387113"/>
    <w:rsid w:val="00387F23"/>
    <w:rsid w:val="00394BCE"/>
    <w:rsid w:val="00396F95"/>
    <w:rsid w:val="0039775F"/>
    <w:rsid w:val="003A159C"/>
    <w:rsid w:val="003A164B"/>
    <w:rsid w:val="003A3B1A"/>
    <w:rsid w:val="003A757F"/>
    <w:rsid w:val="003B26FF"/>
    <w:rsid w:val="003B325D"/>
    <w:rsid w:val="003B3277"/>
    <w:rsid w:val="003B333C"/>
    <w:rsid w:val="003B4A73"/>
    <w:rsid w:val="003B4C36"/>
    <w:rsid w:val="003B4F18"/>
    <w:rsid w:val="003C0A4D"/>
    <w:rsid w:val="003C12C2"/>
    <w:rsid w:val="003C2A34"/>
    <w:rsid w:val="003C4CDA"/>
    <w:rsid w:val="003C6750"/>
    <w:rsid w:val="003D5893"/>
    <w:rsid w:val="003D756F"/>
    <w:rsid w:val="003E1F19"/>
    <w:rsid w:val="003E4C6D"/>
    <w:rsid w:val="003E548C"/>
    <w:rsid w:val="003E7CC7"/>
    <w:rsid w:val="003F0FCF"/>
    <w:rsid w:val="00401F4A"/>
    <w:rsid w:val="0040212D"/>
    <w:rsid w:val="0040406D"/>
    <w:rsid w:val="0041363D"/>
    <w:rsid w:val="004145C1"/>
    <w:rsid w:val="00416819"/>
    <w:rsid w:val="00422AD6"/>
    <w:rsid w:val="00422B5A"/>
    <w:rsid w:val="00424C59"/>
    <w:rsid w:val="0043007C"/>
    <w:rsid w:val="00430E86"/>
    <w:rsid w:val="004334A5"/>
    <w:rsid w:val="00434212"/>
    <w:rsid w:val="00434DE5"/>
    <w:rsid w:val="0043540E"/>
    <w:rsid w:val="00441B7E"/>
    <w:rsid w:val="00445651"/>
    <w:rsid w:val="0045088C"/>
    <w:rsid w:val="00453A24"/>
    <w:rsid w:val="00454508"/>
    <w:rsid w:val="004545C9"/>
    <w:rsid w:val="0045660A"/>
    <w:rsid w:val="00457CC9"/>
    <w:rsid w:val="004612BF"/>
    <w:rsid w:val="004617DB"/>
    <w:rsid w:val="00463C82"/>
    <w:rsid w:val="00463EE7"/>
    <w:rsid w:val="00464924"/>
    <w:rsid w:val="00465468"/>
    <w:rsid w:val="00467F6C"/>
    <w:rsid w:val="00474467"/>
    <w:rsid w:val="004744AB"/>
    <w:rsid w:val="004831D6"/>
    <w:rsid w:val="00485516"/>
    <w:rsid w:val="00490E92"/>
    <w:rsid w:val="00497475"/>
    <w:rsid w:val="00497AD4"/>
    <w:rsid w:val="004A402C"/>
    <w:rsid w:val="004B0091"/>
    <w:rsid w:val="004B05B5"/>
    <w:rsid w:val="004B2E9F"/>
    <w:rsid w:val="004B33F9"/>
    <w:rsid w:val="004B3565"/>
    <w:rsid w:val="004C09EA"/>
    <w:rsid w:val="004C0D6C"/>
    <w:rsid w:val="004C0DED"/>
    <w:rsid w:val="004C0E4E"/>
    <w:rsid w:val="004D0C45"/>
    <w:rsid w:val="004D33D9"/>
    <w:rsid w:val="004D3E32"/>
    <w:rsid w:val="004D5992"/>
    <w:rsid w:val="004D75BD"/>
    <w:rsid w:val="004E5789"/>
    <w:rsid w:val="004E69E4"/>
    <w:rsid w:val="004F07D4"/>
    <w:rsid w:val="004F0BB9"/>
    <w:rsid w:val="004F2C1A"/>
    <w:rsid w:val="005007F7"/>
    <w:rsid w:val="00500C7D"/>
    <w:rsid w:val="00501EC3"/>
    <w:rsid w:val="00502F44"/>
    <w:rsid w:val="00503414"/>
    <w:rsid w:val="005055F9"/>
    <w:rsid w:val="00506B7C"/>
    <w:rsid w:val="0050760F"/>
    <w:rsid w:val="00510060"/>
    <w:rsid w:val="00513EC6"/>
    <w:rsid w:val="00514BEB"/>
    <w:rsid w:val="005163CE"/>
    <w:rsid w:val="00520242"/>
    <w:rsid w:val="00520385"/>
    <w:rsid w:val="00520620"/>
    <w:rsid w:val="00521E8C"/>
    <w:rsid w:val="0052278B"/>
    <w:rsid w:val="00522E80"/>
    <w:rsid w:val="005259FE"/>
    <w:rsid w:val="005265B0"/>
    <w:rsid w:val="005273BD"/>
    <w:rsid w:val="005273DC"/>
    <w:rsid w:val="00532D51"/>
    <w:rsid w:val="0053406B"/>
    <w:rsid w:val="00534083"/>
    <w:rsid w:val="00534E55"/>
    <w:rsid w:val="00536BA9"/>
    <w:rsid w:val="00542C1D"/>
    <w:rsid w:val="0054410A"/>
    <w:rsid w:val="00546B09"/>
    <w:rsid w:val="005535A0"/>
    <w:rsid w:val="005542B0"/>
    <w:rsid w:val="00555237"/>
    <w:rsid w:val="0055726C"/>
    <w:rsid w:val="00562389"/>
    <w:rsid w:val="005636A4"/>
    <w:rsid w:val="00567D5D"/>
    <w:rsid w:val="005723FD"/>
    <w:rsid w:val="00572FAD"/>
    <w:rsid w:val="0057315C"/>
    <w:rsid w:val="00573BA1"/>
    <w:rsid w:val="00587D4E"/>
    <w:rsid w:val="00592BE2"/>
    <w:rsid w:val="00594790"/>
    <w:rsid w:val="00595F62"/>
    <w:rsid w:val="005A012B"/>
    <w:rsid w:val="005A080C"/>
    <w:rsid w:val="005A3F06"/>
    <w:rsid w:val="005A61DF"/>
    <w:rsid w:val="005B1913"/>
    <w:rsid w:val="005B393A"/>
    <w:rsid w:val="005C1967"/>
    <w:rsid w:val="005C1DF7"/>
    <w:rsid w:val="005C37F2"/>
    <w:rsid w:val="005C77B9"/>
    <w:rsid w:val="005D2B6C"/>
    <w:rsid w:val="005D2E75"/>
    <w:rsid w:val="005D4146"/>
    <w:rsid w:val="005D56A9"/>
    <w:rsid w:val="005D5CC1"/>
    <w:rsid w:val="005E124D"/>
    <w:rsid w:val="005E17C4"/>
    <w:rsid w:val="005F0DC4"/>
    <w:rsid w:val="005F2AA8"/>
    <w:rsid w:val="005F2FE1"/>
    <w:rsid w:val="005F38A4"/>
    <w:rsid w:val="005F3920"/>
    <w:rsid w:val="005F3A56"/>
    <w:rsid w:val="005F50A4"/>
    <w:rsid w:val="005F5FE8"/>
    <w:rsid w:val="005F76C9"/>
    <w:rsid w:val="00601C97"/>
    <w:rsid w:val="00601D76"/>
    <w:rsid w:val="006116A2"/>
    <w:rsid w:val="00611DEE"/>
    <w:rsid w:val="00614216"/>
    <w:rsid w:val="0061632A"/>
    <w:rsid w:val="00616F68"/>
    <w:rsid w:val="00624EFF"/>
    <w:rsid w:val="0062752B"/>
    <w:rsid w:val="0063110B"/>
    <w:rsid w:val="0063130A"/>
    <w:rsid w:val="0064206E"/>
    <w:rsid w:val="006420A0"/>
    <w:rsid w:val="00643EF4"/>
    <w:rsid w:val="00645EAF"/>
    <w:rsid w:val="00646141"/>
    <w:rsid w:val="00650342"/>
    <w:rsid w:val="00652947"/>
    <w:rsid w:val="00662D5C"/>
    <w:rsid w:val="00667815"/>
    <w:rsid w:val="00667AA4"/>
    <w:rsid w:val="00670981"/>
    <w:rsid w:val="0067143C"/>
    <w:rsid w:val="00671988"/>
    <w:rsid w:val="00673F84"/>
    <w:rsid w:val="006759F2"/>
    <w:rsid w:val="00680FA7"/>
    <w:rsid w:val="00684EDD"/>
    <w:rsid w:val="0068572E"/>
    <w:rsid w:val="006870B7"/>
    <w:rsid w:val="006905A1"/>
    <w:rsid w:val="00691688"/>
    <w:rsid w:val="00694C33"/>
    <w:rsid w:val="006A3554"/>
    <w:rsid w:val="006A5A13"/>
    <w:rsid w:val="006A6734"/>
    <w:rsid w:val="006B0E32"/>
    <w:rsid w:val="006B10D5"/>
    <w:rsid w:val="006B6226"/>
    <w:rsid w:val="006C14B4"/>
    <w:rsid w:val="006C56D2"/>
    <w:rsid w:val="006C59F9"/>
    <w:rsid w:val="006D103E"/>
    <w:rsid w:val="006D370D"/>
    <w:rsid w:val="006D4FC7"/>
    <w:rsid w:val="006D677A"/>
    <w:rsid w:val="006E0619"/>
    <w:rsid w:val="006E0CB7"/>
    <w:rsid w:val="006E1E2F"/>
    <w:rsid w:val="006E67F9"/>
    <w:rsid w:val="006E6AFC"/>
    <w:rsid w:val="006E7AC9"/>
    <w:rsid w:val="006F1503"/>
    <w:rsid w:val="006F5AC0"/>
    <w:rsid w:val="006F5E3F"/>
    <w:rsid w:val="006F6F92"/>
    <w:rsid w:val="0070293A"/>
    <w:rsid w:val="007040D2"/>
    <w:rsid w:val="00706458"/>
    <w:rsid w:val="00707B02"/>
    <w:rsid w:val="00707CD9"/>
    <w:rsid w:val="007139AC"/>
    <w:rsid w:val="0071449F"/>
    <w:rsid w:val="00714664"/>
    <w:rsid w:val="007170B3"/>
    <w:rsid w:val="0072112E"/>
    <w:rsid w:val="007238A3"/>
    <w:rsid w:val="007261FA"/>
    <w:rsid w:val="00730A6D"/>
    <w:rsid w:val="00731F45"/>
    <w:rsid w:val="0073412E"/>
    <w:rsid w:val="0073417D"/>
    <w:rsid w:val="00734474"/>
    <w:rsid w:val="00735943"/>
    <w:rsid w:val="00736088"/>
    <w:rsid w:val="00737415"/>
    <w:rsid w:val="00742487"/>
    <w:rsid w:val="00744B57"/>
    <w:rsid w:val="00744DC5"/>
    <w:rsid w:val="00745693"/>
    <w:rsid w:val="00747E53"/>
    <w:rsid w:val="00750084"/>
    <w:rsid w:val="0075725F"/>
    <w:rsid w:val="00765B7C"/>
    <w:rsid w:val="00767528"/>
    <w:rsid w:val="00770EBB"/>
    <w:rsid w:val="00776BA0"/>
    <w:rsid w:val="00780C2B"/>
    <w:rsid w:val="00781DB9"/>
    <w:rsid w:val="007822DF"/>
    <w:rsid w:val="00784B88"/>
    <w:rsid w:val="00784DD8"/>
    <w:rsid w:val="0079189B"/>
    <w:rsid w:val="0079670B"/>
    <w:rsid w:val="007A2BBA"/>
    <w:rsid w:val="007A333A"/>
    <w:rsid w:val="007B06D1"/>
    <w:rsid w:val="007B5372"/>
    <w:rsid w:val="007C2E49"/>
    <w:rsid w:val="007C45E9"/>
    <w:rsid w:val="007C4D53"/>
    <w:rsid w:val="007C5538"/>
    <w:rsid w:val="007C5BB6"/>
    <w:rsid w:val="007D0CB3"/>
    <w:rsid w:val="007D2368"/>
    <w:rsid w:val="007D53D7"/>
    <w:rsid w:val="007E6DCD"/>
    <w:rsid w:val="007F0A2E"/>
    <w:rsid w:val="007F1A0C"/>
    <w:rsid w:val="007F3FA1"/>
    <w:rsid w:val="00800ED1"/>
    <w:rsid w:val="0080118F"/>
    <w:rsid w:val="00802110"/>
    <w:rsid w:val="00803878"/>
    <w:rsid w:val="00803968"/>
    <w:rsid w:val="008039C7"/>
    <w:rsid w:val="0080536A"/>
    <w:rsid w:val="00807E99"/>
    <w:rsid w:val="00815238"/>
    <w:rsid w:val="00816DFA"/>
    <w:rsid w:val="00832100"/>
    <w:rsid w:val="008335BB"/>
    <w:rsid w:val="008342F7"/>
    <w:rsid w:val="00834798"/>
    <w:rsid w:val="00835BD5"/>
    <w:rsid w:val="008403E8"/>
    <w:rsid w:val="008425BF"/>
    <w:rsid w:val="0084514E"/>
    <w:rsid w:val="0084729C"/>
    <w:rsid w:val="008512DB"/>
    <w:rsid w:val="00852217"/>
    <w:rsid w:val="00853E0F"/>
    <w:rsid w:val="0085618A"/>
    <w:rsid w:val="0086115E"/>
    <w:rsid w:val="00873EC3"/>
    <w:rsid w:val="00876C1D"/>
    <w:rsid w:val="00881347"/>
    <w:rsid w:val="00882000"/>
    <w:rsid w:val="00884ACE"/>
    <w:rsid w:val="008877E3"/>
    <w:rsid w:val="00891AA7"/>
    <w:rsid w:val="00894545"/>
    <w:rsid w:val="008978E9"/>
    <w:rsid w:val="008A0108"/>
    <w:rsid w:val="008A20AB"/>
    <w:rsid w:val="008A32D4"/>
    <w:rsid w:val="008A47C0"/>
    <w:rsid w:val="008A4F49"/>
    <w:rsid w:val="008A5F0B"/>
    <w:rsid w:val="008A751D"/>
    <w:rsid w:val="008B3F8F"/>
    <w:rsid w:val="008B7315"/>
    <w:rsid w:val="008C0C99"/>
    <w:rsid w:val="008C7399"/>
    <w:rsid w:val="008D27FF"/>
    <w:rsid w:val="008D422D"/>
    <w:rsid w:val="008D4A27"/>
    <w:rsid w:val="008D5F05"/>
    <w:rsid w:val="008E2D60"/>
    <w:rsid w:val="008E4ECA"/>
    <w:rsid w:val="008E6495"/>
    <w:rsid w:val="008E6E32"/>
    <w:rsid w:val="008E7156"/>
    <w:rsid w:val="008F0AA8"/>
    <w:rsid w:val="008F185A"/>
    <w:rsid w:val="008F3A50"/>
    <w:rsid w:val="008F3AE3"/>
    <w:rsid w:val="008F67A5"/>
    <w:rsid w:val="008F7A84"/>
    <w:rsid w:val="00902E9E"/>
    <w:rsid w:val="009036FE"/>
    <w:rsid w:val="00910414"/>
    <w:rsid w:val="00911897"/>
    <w:rsid w:val="00913A4E"/>
    <w:rsid w:val="00913F5A"/>
    <w:rsid w:val="00923DED"/>
    <w:rsid w:val="009247FD"/>
    <w:rsid w:val="00924CA2"/>
    <w:rsid w:val="00927D87"/>
    <w:rsid w:val="00937565"/>
    <w:rsid w:val="00937D4C"/>
    <w:rsid w:val="00943595"/>
    <w:rsid w:val="00950D24"/>
    <w:rsid w:val="00961E47"/>
    <w:rsid w:val="0096459F"/>
    <w:rsid w:val="00964F59"/>
    <w:rsid w:val="009707F8"/>
    <w:rsid w:val="00976CF0"/>
    <w:rsid w:val="0098049C"/>
    <w:rsid w:val="009810A8"/>
    <w:rsid w:val="0098275B"/>
    <w:rsid w:val="009846F8"/>
    <w:rsid w:val="0098567D"/>
    <w:rsid w:val="00992E21"/>
    <w:rsid w:val="00993896"/>
    <w:rsid w:val="009959AC"/>
    <w:rsid w:val="00997067"/>
    <w:rsid w:val="009A12E0"/>
    <w:rsid w:val="009A4B51"/>
    <w:rsid w:val="009A5DAF"/>
    <w:rsid w:val="009B015E"/>
    <w:rsid w:val="009B1C88"/>
    <w:rsid w:val="009B3736"/>
    <w:rsid w:val="009B3892"/>
    <w:rsid w:val="009B3E90"/>
    <w:rsid w:val="009C5501"/>
    <w:rsid w:val="009C5957"/>
    <w:rsid w:val="009C6172"/>
    <w:rsid w:val="009C718D"/>
    <w:rsid w:val="009D0FFC"/>
    <w:rsid w:val="009D1BA7"/>
    <w:rsid w:val="009D5C40"/>
    <w:rsid w:val="009D6F59"/>
    <w:rsid w:val="009D77B9"/>
    <w:rsid w:val="009D7F95"/>
    <w:rsid w:val="009E0A00"/>
    <w:rsid w:val="009E175E"/>
    <w:rsid w:val="009E1901"/>
    <w:rsid w:val="009E1B0D"/>
    <w:rsid w:val="009E7B40"/>
    <w:rsid w:val="009F290A"/>
    <w:rsid w:val="009F4159"/>
    <w:rsid w:val="009F75D6"/>
    <w:rsid w:val="00A00C41"/>
    <w:rsid w:val="00A01057"/>
    <w:rsid w:val="00A02541"/>
    <w:rsid w:val="00A02E83"/>
    <w:rsid w:val="00A104DF"/>
    <w:rsid w:val="00A12D88"/>
    <w:rsid w:val="00A139D6"/>
    <w:rsid w:val="00A22716"/>
    <w:rsid w:val="00A22982"/>
    <w:rsid w:val="00A32DEA"/>
    <w:rsid w:val="00A33C36"/>
    <w:rsid w:val="00A34486"/>
    <w:rsid w:val="00A34CB0"/>
    <w:rsid w:val="00A35F2F"/>
    <w:rsid w:val="00A37A9D"/>
    <w:rsid w:val="00A451DF"/>
    <w:rsid w:val="00A45691"/>
    <w:rsid w:val="00A45DA6"/>
    <w:rsid w:val="00A46FA6"/>
    <w:rsid w:val="00A47101"/>
    <w:rsid w:val="00A47189"/>
    <w:rsid w:val="00A475D6"/>
    <w:rsid w:val="00A47977"/>
    <w:rsid w:val="00A5063E"/>
    <w:rsid w:val="00A54898"/>
    <w:rsid w:val="00A559D9"/>
    <w:rsid w:val="00A567B2"/>
    <w:rsid w:val="00A62C22"/>
    <w:rsid w:val="00A73AB5"/>
    <w:rsid w:val="00A73D7D"/>
    <w:rsid w:val="00A75952"/>
    <w:rsid w:val="00A75CF5"/>
    <w:rsid w:val="00A8071C"/>
    <w:rsid w:val="00A820C0"/>
    <w:rsid w:val="00A847B7"/>
    <w:rsid w:val="00A87C46"/>
    <w:rsid w:val="00A87E0A"/>
    <w:rsid w:val="00A909E1"/>
    <w:rsid w:val="00A90E69"/>
    <w:rsid w:val="00A96684"/>
    <w:rsid w:val="00A97B8D"/>
    <w:rsid w:val="00AA12BD"/>
    <w:rsid w:val="00AB5DB0"/>
    <w:rsid w:val="00AC02D9"/>
    <w:rsid w:val="00AC1B93"/>
    <w:rsid w:val="00AC1C77"/>
    <w:rsid w:val="00AC3CDB"/>
    <w:rsid w:val="00AC58CD"/>
    <w:rsid w:val="00AC5B45"/>
    <w:rsid w:val="00AD22FE"/>
    <w:rsid w:val="00AD2D7E"/>
    <w:rsid w:val="00AD48EC"/>
    <w:rsid w:val="00AE53C2"/>
    <w:rsid w:val="00AE749B"/>
    <w:rsid w:val="00AF1F1E"/>
    <w:rsid w:val="00AF23A0"/>
    <w:rsid w:val="00AF398C"/>
    <w:rsid w:val="00AF3A23"/>
    <w:rsid w:val="00B00C67"/>
    <w:rsid w:val="00B02423"/>
    <w:rsid w:val="00B0301F"/>
    <w:rsid w:val="00B135FF"/>
    <w:rsid w:val="00B14237"/>
    <w:rsid w:val="00B15A5D"/>
    <w:rsid w:val="00B15B3F"/>
    <w:rsid w:val="00B1665E"/>
    <w:rsid w:val="00B23581"/>
    <w:rsid w:val="00B374E8"/>
    <w:rsid w:val="00B37DFC"/>
    <w:rsid w:val="00B4116E"/>
    <w:rsid w:val="00B43B7F"/>
    <w:rsid w:val="00B43F57"/>
    <w:rsid w:val="00B44051"/>
    <w:rsid w:val="00B50FFF"/>
    <w:rsid w:val="00B52D34"/>
    <w:rsid w:val="00B5451E"/>
    <w:rsid w:val="00B54893"/>
    <w:rsid w:val="00B55BF8"/>
    <w:rsid w:val="00B60656"/>
    <w:rsid w:val="00B6140D"/>
    <w:rsid w:val="00B62FAA"/>
    <w:rsid w:val="00B65C32"/>
    <w:rsid w:val="00B66759"/>
    <w:rsid w:val="00B676F3"/>
    <w:rsid w:val="00B72AFF"/>
    <w:rsid w:val="00B73872"/>
    <w:rsid w:val="00B75A47"/>
    <w:rsid w:val="00B77493"/>
    <w:rsid w:val="00B8038C"/>
    <w:rsid w:val="00B83F15"/>
    <w:rsid w:val="00B84B09"/>
    <w:rsid w:val="00B94B40"/>
    <w:rsid w:val="00BA429C"/>
    <w:rsid w:val="00BA48D4"/>
    <w:rsid w:val="00BA6CA6"/>
    <w:rsid w:val="00BA7D5D"/>
    <w:rsid w:val="00BB1ACE"/>
    <w:rsid w:val="00BB404B"/>
    <w:rsid w:val="00BC3DB3"/>
    <w:rsid w:val="00BC66FB"/>
    <w:rsid w:val="00BC7013"/>
    <w:rsid w:val="00BD0BF1"/>
    <w:rsid w:val="00BD3CCA"/>
    <w:rsid w:val="00BD4AB9"/>
    <w:rsid w:val="00BD6071"/>
    <w:rsid w:val="00BD664D"/>
    <w:rsid w:val="00BD667B"/>
    <w:rsid w:val="00BD6CF2"/>
    <w:rsid w:val="00BE6A44"/>
    <w:rsid w:val="00BF2AA7"/>
    <w:rsid w:val="00BF3E3B"/>
    <w:rsid w:val="00BF483B"/>
    <w:rsid w:val="00BF6C6E"/>
    <w:rsid w:val="00C00129"/>
    <w:rsid w:val="00C00985"/>
    <w:rsid w:val="00C054CD"/>
    <w:rsid w:val="00C070C7"/>
    <w:rsid w:val="00C07280"/>
    <w:rsid w:val="00C1016C"/>
    <w:rsid w:val="00C10517"/>
    <w:rsid w:val="00C114AD"/>
    <w:rsid w:val="00C1176A"/>
    <w:rsid w:val="00C2085A"/>
    <w:rsid w:val="00C219AF"/>
    <w:rsid w:val="00C21A0C"/>
    <w:rsid w:val="00C21AF6"/>
    <w:rsid w:val="00C25385"/>
    <w:rsid w:val="00C2570B"/>
    <w:rsid w:val="00C25832"/>
    <w:rsid w:val="00C30271"/>
    <w:rsid w:val="00C306DB"/>
    <w:rsid w:val="00C341B1"/>
    <w:rsid w:val="00C34B16"/>
    <w:rsid w:val="00C36B27"/>
    <w:rsid w:val="00C37118"/>
    <w:rsid w:val="00C408EA"/>
    <w:rsid w:val="00C41580"/>
    <w:rsid w:val="00C434C2"/>
    <w:rsid w:val="00C43A9A"/>
    <w:rsid w:val="00C51A62"/>
    <w:rsid w:val="00C5374D"/>
    <w:rsid w:val="00C54D09"/>
    <w:rsid w:val="00C5697B"/>
    <w:rsid w:val="00C57A1E"/>
    <w:rsid w:val="00C60C11"/>
    <w:rsid w:val="00C61005"/>
    <w:rsid w:val="00C61997"/>
    <w:rsid w:val="00C62BD4"/>
    <w:rsid w:val="00C62E03"/>
    <w:rsid w:val="00C63694"/>
    <w:rsid w:val="00C7108C"/>
    <w:rsid w:val="00C719A3"/>
    <w:rsid w:val="00C72E55"/>
    <w:rsid w:val="00C749D1"/>
    <w:rsid w:val="00C77B92"/>
    <w:rsid w:val="00C8155B"/>
    <w:rsid w:val="00C830A1"/>
    <w:rsid w:val="00C907AC"/>
    <w:rsid w:val="00C90C7D"/>
    <w:rsid w:val="00C94AFF"/>
    <w:rsid w:val="00C97A0D"/>
    <w:rsid w:val="00CA19B9"/>
    <w:rsid w:val="00CA3961"/>
    <w:rsid w:val="00CA492F"/>
    <w:rsid w:val="00CB587A"/>
    <w:rsid w:val="00CC11B5"/>
    <w:rsid w:val="00CC1EB8"/>
    <w:rsid w:val="00CC21D9"/>
    <w:rsid w:val="00CC4987"/>
    <w:rsid w:val="00CD1078"/>
    <w:rsid w:val="00CD54F9"/>
    <w:rsid w:val="00CD5E3D"/>
    <w:rsid w:val="00CD5F3C"/>
    <w:rsid w:val="00CE0F93"/>
    <w:rsid w:val="00CE18B4"/>
    <w:rsid w:val="00CE1AF0"/>
    <w:rsid w:val="00CE3CAA"/>
    <w:rsid w:val="00CE6145"/>
    <w:rsid w:val="00CF063C"/>
    <w:rsid w:val="00CF151B"/>
    <w:rsid w:val="00CF2B99"/>
    <w:rsid w:val="00D02737"/>
    <w:rsid w:val="00D02A7C"/>
    <w:rsid w:val="00D050DB"/>
    <w:rsid w:val="00D06383"/>
    <w:rsid w:val="00D13611"/>
    <w:rsid w:val="00D1438E"/>
    <w:rsid w:val="00D149B4"/>
    <w:rsid w:val="00D16419"/>
    <w:rsid w:val="00D17992"/>
    <w:rsid w:val="00D17E5E"/>
    <w:rsid w:val="00D207F5"/>
    <w:rsid w:val="00D21CBA"/>
    <w:rsid w:val="00D3107B"/>
    <w:rsid w:val="00D40EA1"/>
    <w:rsid w:val="00D41FE9"/>
    <w:rsid w:val="00D55E76"/>
    <w:rsid w:val="00D574A0"/>
    <w:rsid w:val="00D61FCF"/>
    <w:rsid w:val="00D631DE"/>
    <w:rsid w:val="00D652DA"/>
    <w:rsid w:val="00D66035"/>
    <w:rsid w:val="00D67D39"/>
    <w:rsid w:val="00D71FEA"/>
    <w:rsid w:val="00D7316F"/>
    <w:rsid w:val="00D73D28"/>
    <w:rsid w:val="00D7520E"/>
    <w:rsid w:val="00D75AAD"/>
    <w:rsid w:val="00D7760C"/>
    <w:rsid w:val="00D81887"/>
    <w:rsid w:val="00D81A44"/>
    <w:rsid w:val="00D90A90"/>
    <w:rsid w:val="00D90B12"/>
    <w:rsid w:val="00D90F32"/>
    <w:rsid w:val="00D91364"/>
    <w:rsid w:val="00D913D8"/>
    <w:rsid w:val="00D9373A"/>
    <w:rsid w:val="00DA009B"/>
    <w:rsid w:val="00DA3074"/>
    <w:rsid w:val="00DA40ED"/>
    <w:rsid w:val="00DA51D5"/>
    <w:rsid w:val="00DB36BB"/>
    <w:rsid w:val="00DB6541"/>
    <w:rsid w:val="00DB6DAC"/>
    <w:rsid w:val="00DC0143"/>
    <w:rsid w:val="00DC707C"/>
    <w:rsid w:val="00DD3E2F"/>
    <w:rsid w:val="00DD4546"/>
    <w:rsid w:val="00DE1F2F"/>
    <w:rsid w:val="00DE6E1D"/>
    <w:rsid w:val="00DE7BC4"/>
    <w:rsid w:val="00DF239A"/>
    <w:rsid w:val="00DF2B65"/>
    <w:rsid w:val="00DF5804"/>
    <w:rsid w:val="00E008F8"/>
    <w:rsid w:val="00E05EAD"/>
    <w:rsid w:val="00E065C7"/>
    <w:rsid w:val="00E06FA0"/>
    <w:rsid w:val="00E07B80"/>
    <w:rsid w:val="00E10C98"/>
    <w:rsid w:val="00E120CF"/>
    <w:rsid w:val="00E12C8A"/>
    <w:rsid w:val="00E12CB0"/>
    <w:rsid w:val="00E15441"/>
    <w:rsid w:val="00E17343"/>
    <w:rsid w:val="00E24601"/>
    <w:rsid w:val="00E30099"/>
    <w:rsid w:val="00E361E1"/>
    <w:rsid w:val="00E4033C"/>
    <w:rsid w:val="00E428BA"/>
    <w:rsid w:val="00E42D90"/>
    <w:rsid w:val="00E42EC4"/>
    <w:rsid w:val="00E438BF"/>
    <w:rsid w:val="00E44917"/>
    <w:rsid w:val="00E4507E"/>
    <w:rsid w:val="00E50F85"/>
    <w:rsid w:val="00E51C12"/>
    <w:rsid w:val="00E526BE"/>
    <w:rsid w:val="00E5548B"/>
    <w:rsid w:val="00E555F1"/>
    <w:rsid w:val="00E55D0B"/>
    <w:rsid w:val="00E56A21"/>
    <w:rsid w:val="00E574CC"/>
    <w:rsid w:val="00E57C50"/>
    <w:rsid w:val="00E63B88"/>
    <w:rsid w:val="00E674BE"/>
    <w:rsid w:val="00E67F41"/>
    <w:rsid w:val="00E733DB"/>
    <w:rsid w:val="00E734BC"/>
    <w:rsid w:val="00E76470"/>
    <w:rsid w:val="00E84087"/>
    <w:rsid w:val="00E8450B"/>
    <w:rsid w:val="00E84E79"/>
    <w:rsid w:val="00E86A0C"/>
    <w:rsid w:val="00E87A6F"/>
    <w:rsid w:val="00E918E6"/>
    <w:rsid w:val="00E96228"/>
    <w:rsid w:val="00EA0117"/>
    <w:rsid w:val="00EB0800"/>
    <w:rsid w:val="00EB1F4E"/>
    <w:rsid w:val="00EB2506"/>
    <w:rsid w:val="00EB432C"/>
    <w:rsid w:val="00EB4645"/>
    <w:rsid w:val="00EB6200"/>
    <w:rsid w:val="00EC0301"/>
    <w:rsid w:val="00EC2B17"/>
    <w:rsid w:val="00EC50B0"/>
    <w:rsid w:val="00ED02D6"/>
    <w:rsid w:val="00ED13F9"/>
    <w:rsid w:val="00ED2180"/>
    <w:rsid w:val="00ED3314"/>
    <w:rsid w:val="00EE018E"/>
    <w:rsid w:val="00EF4D8C"/>
    <w:rsid w:val="00EF61E4"/>
    <w:rsid w:val="00F02195"/>
    <w:rsid w:val="00F02A06"/>
    <w:rsid w:val="00F05E29"/>
    <w:rsid w:val="00F12E72"/>
    <w:rsid w:val="00F2304C"/>
    <w:rsid w:val="00F325CD"/>
    <w:rsid w:val="00F355F8"/>
    <w:rsid w:val="00F42245"/>
    <w:rsid w:val="00F42943"/>
    <w:rsid w:val="00F46162"/>
    <w:rsid w:val="00F510A2"/>
    <w:rsid w:val="00F5123D"/>
    <w:rsid w:val="00F52BAF"/>
    <w:rsid w:val="00F536D7"/>
    <w:rsid w:val="00F548C7"/>
    <w:rsid w:val="00F54B4C"/>
    <w:rsid w:val="00F6078A"/>
    <w:rsid w:val="00F611DF"/>
    <w:rsid w:val="00F62709"/>
    <w:rsid w:val="00F66E04"/>
    <w:rsid w:val="00F670F2"/>
    <w:rsid w:val="00F70ABF"/>
    <w:rsid w:val="00F7409C"/>
    <w:rsid w:val="00F74E0D"/>
    <w:rsid w:val="00F7596C"/>
    <w:rsid w:val="00F76B53"/>
    <w:rsid w:val="00F80678"/>
    <w:rsid w:val="00F84B79"/>
    <w:rsid w:val="00F86C05"/>
    <w:rsid w:val="00F874A4"/>
    <w:rsid w:val="00F874BD"/>
    <w:rsid w:val="00F95963"/>
    <w:rsid w:val="00F95B90"/>
    <w:rsid w:val="00F97C39"/>
    <w:rsid w:val="00FA0EC6"/>
    <w:rsid w:val="00FA22E1"/>
    <w:rsid w:val="00FA480F"/>
    <w:rsid w:val="00FA6373"/>
    <w:rsid w:val="00FA69E3"/>
    <w:rsid w:val="00FB50F5"/>
    <w:rsid w:val="00FB5CE5"/>
    <w:rsid w:val="00FC314E"/>
    <w:rsid w:val="00FC4FDA"/>
    <w:rsid w:val="00FC5890"/>
    <w:rsid w:val="00FC6EF2"/>
    <w:rsid w:val="00FD1112"/>
    <w:rsid w:val="00FD251C"/>
    <w:rsid w:val="00FD263F"/>
    <w:rsid w:val="00FD442E"/>
    <w:rsid w:val="00FD5030"/>
    <w:rsid w:val="00FD76B7"/>
    <w:rsid w:val="00FE1168"/>
    <w:rsid w:val="00FE3CC4"/>
    <w:rsid w:val="00FE6238"/>
    <w:rsid w:val="00FF1E8D"/>
    <w:rsid w:val="00FF4ED0"/>
    <w:rsid w:val="00FF5773"/>
    <w:rsid w:val="00FF72FB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5BF8"/>
    <w:pPr>
      <w:suppressAutoHyphens/>
      <w:overflowPunct w:val="0"/>
      <w:autoSpaceDE w:val="0"/>
    </w:pPr>
    <w:rPr>
      <w:rFonts w:ascii="Arial" w:hAnsi="Arial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43B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3B7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1665E"/>
    <w:pPr>
      <w:widowControl w:val="0"/>
      <w:overflowPunct/>
      <w:autoSpaceDE/>
      <w:spacing w:after="120"/>
    </w:pPr>
    <w:rPr>
      <w:rFonts w:ascii="Times New Roman" w:eastAsia="Arial Unicode MS" w:hAnsi="Times New Roman"/>
      <w:szCs w:val="24"/>
    </w:rPr>
  </w:style>
  <w:style w:type="paragraph" w:customStyle="1" w:styleId="Styl1">
    <w:name w:val="Styl1"/>
    <w:basedOn w:val="Tekstpodstawowy"/>
    <w:rsid w:val="00853E0F"/>
    <w:pPr>
      <w:widowControl/>
      <w:jc w:val="center"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6116A2"/>
    <w:rPr>
      <w:strike w:val="0"/>
      <w:dstrike w:val="0"/>
      <w:color w:val="7D7D7D"/>
      <w:u w:val="none"/>
      <w:effect w:val="none"/>
    </w:rPr>
  </w:style>
  <w:style w:type="table" w:styleId="Jasnecieniowanieakcent5">
    <w:name w:val="Light Shading Accent 5"/>
    <w:basedOn w:val="Standardowy"/>
    <w:uiPriority w:val="60"/>
    <w:rsid w:val="00FF1E8D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Jasnecieniowanieakcent11">
    <w:name w:val="Jasne cieniowanie — akcent 11"/>
    <w:basedOn w:val="Standardowy"/>
    <w:uiPriority w:val="60"/>
    <w:rsid w:val="00FF1E8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1">
    <w:name w:val="Jasne cieniowanie1"/>
    <w:basedOn w:val="Standardowy"/>
    <w:uiPriority w:val="60"/>
    <w:rsid w:val="00FF1E8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nyWeb">
    <w:name w:val="Normal (Web)"/>
    <w:basedOn w:val="Normalny"/>
    <w:unhideWhenUsed/>
    <w:rsid w:val="00FF1E8D"/>
    <w:pPr>
      <w:suppressAutoHyphens w:val="0"/>
      <w:overflowPunct/>
      <w:autoSpaceDE/>
      <w:spacing w:before="100" w:beforeAutospacing="1" w:after="100" w:afterAutospacing="1"/>
    </w:pPr>
    <w:rPr>
      <w:rFonts w:ascii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E8D"/>
    <w:rPr>
      <w:b/>
      <w:bCs/>
    </w:rPr>
  </w:style>
  <w:style w:type="table" w:customStyle="1" w:styleId="Jasnasiatkaakcent11">
    <w:name w:val="Jasna siatka — akcent 11"/>
    <w:basedOn w:val="Standardowy"/>
    <w:uiPriority w:val="62"/>
    <w:rsid w:val="003B4F1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3B4F1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rsid w:val="00503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3414"/>
    <w:rPr>
      <w:rFonts w:ascii="Tahoma" w:hAnsi="Tahoma" w:cs="Tahoma"/>
      <w:sz w:val="16"/>
      <w:szCs w:val="16"/>
      <w:lang w:eastAsia="ar-SA"/>
    </w:rPr>
  </w:style>
  <w:style w:type="table" w:styleId="Tabela-Kolumnowy3">
    <w:name w:val="Table Columns 3"/>
    <w:basedOn w:val="Standardowy"/>
    <w:rsid w:val="00E574CC"/>
    <w:pPr>
      <w:suppressAutoHyphens/>
      <w:overflowPunct w:val="0"/>
      <w:autoSpaceDE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rsid w:val="00080F5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0F5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80F56"/>
    <w:rPr>
      <w:rFonts w:ascii="Arial" w:hAnsi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80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80F56"/>
    <w:rPr>
      <w:b/>
      <w:bCs/>
    </w:rPr>
  </w:style>
  <w:style w:type="paragraph" w:styleId="Tekstprzypisudolnego">
    <w:name w:val="footnote text"/>
    <w:basedOn w:val="Normalny"/>
    <w:link w:val="TekstprzypisudolnegoZnak"/>
    <w:rsid w:val="00C2583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32"/>
    <w:rPr>
      <w:rFonts w:ascii="Arial" w:hAnsi="Arial"/>
      <w:lang w:eastAsia="ar-SA"/>
    </w:rPr>
  </w:style>
  <w:style w:type="character" w:styleId="Odwoanieprzypisudolnego">
    <w:name w:val="footnote reference"/>
    <w:basedOn w:val="Domylnaczcionkaakapitu"/>
    <w:rsid w:val="00C258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75F"/>
    <w:pPr>
      <w:ind w:left="720"/>
      <w:contextualSpacing/>
    </w:p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0955ED"/>
    <w:rPr>
      <w:rFonts w:ascii="Times" w:hAnsi="Times" w:cs="Times"/>
    </w:rPr>
  </w:style>
  <w:style w:type="paragraph" w:customStyle="1" w:styleId="ARTartustawynprozporzdzenia">
    <w:name w:val="ART(§) – art. ustawy (§ np. rozporządzenia)"/>
    <w:basedOn w:val="Normalny"/>
    <w:link w:val="ARTartustawynprozporzdzeniaZnak"/>
    <w:uiPriority w:val="14"/>
    <w:rsid w:val="000955ED"/>
    <w:pPr>
      <w:suppressAutoHyphens w:val="0"/>
      <w:overflowPunct/>
      <w:autoSpaceDN w:val="0"/>
      <w:spacing w:before="120" w:line="360" w:lineRule="auto"/>
      <w:ind w:firstLine="510"/>
      <w:jc w:val="both"/>
    </w:pPr>
    <w:rPr>
      <w:rFonts w:ascii="Times" w:hAnsi="Times" w:cs="Times"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2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2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s.waw.p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r>
              <a:rPr lang="pl-PL" sz="900">
                <a:latin typeface="Arial" pitchFamily="34" charset="0"/>
                <a:cs typeface="Arial" pitchFamily="34" charset="0"/>
              </a:rPr>
              <a:t>P</a:t>
            </a:r>
            <a:r>
              <a:rPr lang="en-US" sz="900">
                <a:latin typeface="Arial" pitchFamily="34" charset="0"/>
                <a:cs typeface="Arial" pitchFamily="34" charset="0"/>
              </a:rPr>
              <a:t>rodukcja wódki w Polsce (w mln l 100% alk.)</a:t>
            </a:r>
          </a:p>
        </c:rich>
      </c:tx>
    </c:title>
    <c:plotArea>
      <c:layout/>
      <c:lineChart>
        <c:grouping val="standard"/>
        <c:ser>
          <c:idx val="0"/>
          <c:order val="0"/>
          <c:marker>
            <c:symbol val="none"/>
          </c:marker>
          <c:cat>
            <c:numRef>
              <c:f>Arkusz1!$A$7:$A$13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 formatCode="0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Arkusz1!$F$7:$F$13</c:f>
              <c:numCache>
                <c:formatCode>0.00</c:formatCode>
                <c:ptCount val="7"/>
                <c:pt idx="0">
                  <c:v>108.1</c:v>
                </c:pt>
                <c:pt idx="1">
                  <c:v>104.3</c:v>
                </c:pt>
                <c:pt idx="2">
                  <c:v>104.5</c:v>
                </c:pt>
                <c:pt idx="3">
                  <c:v>103.32000000000001</c:v>
                </c:pt>
                <c:pt idx="4">
                  <c:v>102.99000000000002</c:v>
                </c:pt>
                <c:pt idx="5">
                  <c:v>115.33000000000001</c:v>
                </c:pt>
                <c:pt idx="6">
                  <c:v>87.9</c:v>
                </c:pt>
              </c:numCache>
            </c:numRef>
          </c:val>
        </c:ser>
        <c:marker val="1"/>
        <c:axId val="111674880"/>
        <c:axId val="111676800"/>
      </c:lineChart>
      <c:catAx>
        <c:axId val="111674880"/>
        <c:scaling>
          <c:orientation val="minMax"/>
        </c:scaling>
        <c:axPos val="b"/>
        <c:numFmt formatCode="General" sourceLinked="1"/>
        <c:tickLblPos val="nextTo"/>
        <c:crossAx val="111676800"/>
        <c:crosses val="autoZero"/>
        <c:auto val="1"/>
        <c:lblAlgn val="ctr"/>
        <c:lblOffset val="100"/>
      </c:catAx>
      <c:valAx>
        <c:axId val="111676800"/>
        <c:scaling>
          <c:orientation val="minMax"/>
        </c:scaling>
        <c:axPos val="l"/>
        <c:majorGridlines/>
        <c:numFmt formatCode="0.00" sourceLinked="1"/>
        <c:tickLblPos val="nextTo"/>
        <c:crossAx val="111674880"/>
        <c:crosses val="autoZero"/>
        <c:crossBetween val="between"/>
        <c:majorUnit val="40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1971A-D13C-4923-B153-810E673A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SIT Spoż. Krajowa Rada Przetwórstwa Spirytusu</Company>
  <LinksUpToDate>false</LinksUpToDate>
  <CharactersWithSpaces>3487</CharactersWithSpaces>
  <SharedDoc>false</SharedDoc>
  <HLinks>
    <vt:vector size="6" baseType="variant">
      <vt:variant>
        <vt:i4>7798829</vt:i4>
      </vt:variant>
      <vt:variant>
        <vt:i4>0</vt:i4>
      </vt:variant>
      <vt:variant>
        <vt:i4>0</vt:i4>
      </vt:variant>
      <vt:variant>
        <vt:i4>5</vt:i4>
      </vt:variant>
      <vt:variant>
        <vt:lpwstr>http://www.pps.waw.pl/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Tomasik</dc:creator>
  <cp:lastModifiedBy>Iga Wasilewicz</cp:lastModifiedBy>
  <cp:revision>5</cp:revision>
  <cp:lastPrinted>2014-07-18T08:36:00Z</cp:lastPrinted>
  <dcterms:created xsi:type="dcterms:W3CDTF">2015-01-28T11:09:00Z</dcterms:created>
  <dcterms:modified xsi:type="dcterms:W3CDTF">2015-01-29T09:24:00Z</dcterms:modified>
</cp:coreProperties>
</file>