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615C" w14:textId="5C1F8E26" w:rsidR="00732BCE" w:rsidRPr="002B6C1F" w:rsidRDefault="00982BC7" w:rsidP="00732BCE">
      <w:pPr>
        <w:suppressAutoHyphens w:val="0"/>
        <w:overflowPunct/>
        <w:autoSpaceDE/>
        <w:spacing w:before="100" w:beforeAutospacing="1" w:after="100" w:afterAutospacing="1" w:line="276" w:lineRule="auto"/>
        <w:rPr>
          <w:rFonts w:ascii="Calibri" w:hAnsi="Calibri" w:cs="Calibri"/>
          <w:b/>
          <w:bCs/>
          <w:sz w:val="20"/>
          <w:lang w:eastAsia="pl-PL"/>
        </w:rPr>
      </w:pPr>
      <w:r w:rsidRPr="002B6C1F">
        <w:rPr>
          <w:rFonts w:ascii="Calibri" w:hAnsi="Calibri" w:cs="Calibri"/>
          <w:b/>
          <w:bCs/>
          <w:noProof/>
          <w:sz w:val="20"/>
          <w:lang w:eastAsia="pl-PL"/>
        </w:rPr>
        <w:drawing>
          <wp:inline distT="0" distB="0" distL="0" distR="0" wp14:anchorId="45CA0FC5" wp14:editId="672865A1">
            <wp:extent cx="1339850" cy="743933"/>
            <wp:effectExtent l="0" t="0" r="0" b="0"/>
            <wp:docPr id="883476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67" cy="747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357E6" w14:textId="77777777" w:rsidR="002B6C1F" w:rsidRPr="00110DA7" w:rsidRDefault="002B6C1F" w:rsidP="002B6C1F">
      <w:pPr>
        <w:suppressAutoHyphens w:val="0"/>
        <w:overflowPunct/>
        <w:autoSpaceDE/>
        <w:spacing w:before="100" w:beforeAutospacing="1" w:after="100" w:afterAutospacing="1" w:line="276" w:lineRule="auto"/>
        <w:jc w:val="right"/>
        <w:rPr>
          <w:rFonts w:ascii="Calibri" w:hAnsi="Calibri" w:cs="Calibri"/>
          <w:sz w:val="20"/>
          <w:lang w:eastAsia="pl-PL"/>
        </w:rPr>
      </w:pPr>
      <w:r w:rsidRPr="00110DA7">
        <w:rPr>
          <w:rFonts w:ascii="Calibri" w:hAnsi="Calibri" w:cs="Calibri"/>
          <w:sz w:val="20"/>
          <w:lang w:eastAsia="pl-PL"/>
        </w:rPr>
        <w:t>Warszawa, 07.08.2024r.</w:t>
      </w:r>
    </w:p>
    <w:p w14:paraId="3F6756F5" w14:textId="62D52041" w:rsidR="00732BCE" w:rsidRPr="002B6C1F" w:rsidRDefault="00732BCE" w:rsidP="00FC1914">
      <w:pPr>
        <w:suppressAutoHyphens w:val="0"/>
        <w:overflowPunct/>
        <w:autoSpaceDE/>
        <w:spacing w:before="100" w:beforeAutospacing="1" w:after="100" w:afterAutospacing="1" w:line="276" w:lineRule="auto"/>
        <w:jc w:val="center"/>
        <w:rPr>
          <w:rFonts w:ascii="Calibri" w:hAnsi="Calibri" w:cs="Calibri"/>
          <w:b/>
          <w:bCs/>
          <w:sz w:val="20"/>
          <w:lang w:eastAsia="pl-PL"/>
        </w:rPr>
      </w:pPr>
      <w:r w:rsidRPr="002B6C1F">
        <w:rPr>
          <w:rFonts w:ascii="Calibri" w:hAnsi="Calibri" w:cs="Calibri"/>
          <w:b/>
          <w:bCs/>
          <w:sz w:val="20"/>
          <w:lang w:eastAsia="pl-PL"/>
        </w:rPr>
        <w:t xml:space="preserve">Małe formaty </w:t>
      </w:r>
      <w:r w:rsidR="00414411" w:rsidRPr="002B6C1F">
        <w:rPr>
          <w:rFonts w:ascii="Calibri" w:hAnsi="Calibri" w:cs="Calibri"/>
          <w:b/>
          <w:bCs/>
          <w:sz w:val="20"/>
          <w:lang w:eastAsia="pl-PL"/>
        </w:rPr>
        <w:t xml:space="preserve">napojów spirytusowych </w:t>
      </w:r>
      <w:r w:rsidRPr="002B6C1F">
        <w:rPr>
          <w:rFonts w:ascii="Calibri" w:hAnsi="Calibri" w:cs="Calibri"/>
          <w:b/>
          <w:bCs/>
          <w:sz w:val="20"/>
          <w:lang w:eastAsia="pl-PL"/>
        </w:rPr>
        <w:t>w liczbach</w:t>
      </w:r>
    </w:p>
    <w:p w14:paraId="29BE2899" w14:textId="0EAC563A" w:rsidR="000A37AC" w:rsidRPr="002B6C1F" w:rsidRDefault="000404C1" w:rsidP="00FC1914">
      <w:p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0"/>
          <w:lang w:eastAsia="pl-PL"/>
        </w:rPr>
      </w:pPr>
      <w:r w:rsidRPr="002B6C1F">
        <w:rPr>
          <w:rFonts w:ascii="Calibri" w:hAnsi="Calibri" w:cs="Calibri"/>
          <w:b/>
          <w:bCs/>
          <w:sz w:val="20"/>
          <w:lang w:eastAsia="pl-PL"/>
        </w:rPr>
        <w:t xml:space="preserve">Tocząca się w przestrzeni publicznej dyskusja o </w:t>
      </w:r>
      <w:r w:rsidR="00C9133A" w:rsidRPr="002B6C1F">
        <w:rPr>
          <w:rFonts w:ascii="Calibri" w:hAnsi="Calibri" w:cs="Calibri"/>
          <w:b/>
          <w:bCs/>
          <w:sz w:val="20"/>
          <w:lang w:eastAsia="pl-PL"/>
        </w:rPr>
        <w:t>małych format</w:t>
      </w:r>
      <w:r w:rsidRPr="002B6C1F">
        <w:rPr>
          <w:rFonts w:ascii="Calibri" w:hAnsi="Calibri" w:cs="Calibri"/>
          <w:b/>
          <w:bCs/>
          <w:sz w:val="20"/>
          <w:lang w:eastAsia="pl-PL"/>
        </w:rPr>
        <w:t>ach</w:t>
      </w:r>
      <w:r w:rsidR="00C9133A" w:rsidRPr="002B6C1F">
        <w:rPr>
          <w:rFonts w:ascii="Calibri" w:hAnsi="Calibri" w:cs="Calibri"/>
          <w:b/>
          <w:bCs/>
          <w:sz w:val="20"/>
          <w:lang w:eastAsia="pl-PL"/>
        </w:rPr>
        <w:t xml:space="preserve"> </w:t>
      </w:r>
      <w:r w:rsidR="005A2554" w:rsidRPr="002B6C1F">
        <w:rPr>
          <w:rFonts w:ascii="Calibri" w:hAnsi="Calibri" w:cs="Calibri"/>
          <w:b/>
          <w:bCs/>
          <w:sz w:val="20"/>
          <w:lang w:eastAsia="pl-PL"/>
        </w:rPr>
        <w:t xml:space="preserve">napojów spirytusowych 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>skłania</w:t>
      </w:r>
      <w:r w:rsidR="00C9133A" w:rsidRPr="002B6C1F">
        <w:rPr>
          <w:rFonts w:ascii="Calibri" w:hAnsi="Calibri" w:cs="Calibri"/>
          <w:b/>
          <w:bCs/>
          <w:sz w:val="20"/>
          <w:lang w:eastAsia="pl-PL"/>
        </w:rPr>
        <w:t xml:space="preserve"> do przyjrzenia się 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>nie tylko k</w:t>
      </w:r>
      <w:r w:rsidR="00C9133A" w:rsidRPr="002B6C1F">
        <w:rPr>
          <w:rFonts w:ascii="Calibri" w:hAnsi="Calibri" w:cs="Calibri"/>
          <w:b/>
          <w:bCs/>
          <w:sz w:val="20"/>
          <w:lang w:eastAsia="pl-PL"/>
        </w:rPr>
        <w:t>onkretnym liczbom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 xml:space="preserve">, </w:t>
      </w:r>
      <w:r w:rsidR="00CD6B7B" w:rsidRPr="002B6C1F">
        <w:rPr>
          <w:rFonts w:ascii="Calibri" w:hAnsi="Calibri" w:cs="Calibri"/>
          <w:b/>
          <w:bCs/>
          <w:sz w:val="20"/>
          <w:lang w:eastAsia="pl-PL"/>
        </w:rPr>
        <w:t>ale także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 xml:space="preserve"> </w:t>
      </w:r>
      <w:r w:rsidR="007C1D13" w:rsidRPr="002B6C1F">
        <w:rPr>
          <w:rFonts w:ascii="Calibri" w:hAnsi="Calibri" w:cs="Calibri"/>
          <w:b/>
          <w:bCs/>
          <w:sz w:val="20"/>
          <w:lang w:eastAsia="pl-PL"/>
        </w:rPr>
        <w:t>przypomnienia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>, że polscy konsumenci spożywają najwięcej alkoholu w piwie (5</w:t>
      </w:r>
      <w:r w:rsidR="00F67C35" w:rsidRPr="002B6C1F">
        <w:rPr>
          <w:rFonts w:ascii="Calibri" w:hAnsi="Calibri" w:cs="Calibri"/>
          <w:b/>
          <w:bCs/>
          <w:sz w:val="20"/>
          <w:lang w:eastAsia="pl-PL"/>
        </w:rPr>
        <w:t>5</w:t>
      </w:r>
      <w:r w:rsidR="00A23EFE" w:rsidRPr="002B6C1F">
        <w:rPr>
          <w:rFonts w:ascii="Calibri" w:hAnsi="Calibri" w:cs="Calibri"/>
          <w:b/>
          <w:bCs/>
          <w:sz w:val="20"/>
          <w:lang w:eastAsia="pl-PL"/>
        </w:rPr>
        <w:t xml:space="preserve"> </w:t>
      </w:r>
      <w:r w:rsidR="00F67C35" w:rsidRPr="002B6C1F">
        <w:rPr>
          <w:rFonts w:ascii="Calibri" w:hAnsi="Calibri" w:cs="Calibri"/>
          <w:b/>
          <w:bCs/>
          <w:sz w:val="20"/>
          <w:lang w:eastAsia="pl-PL"/>
        </w:rPr>
        <w:t>proc</w:t>
      </w:r>
      <w:r w:rsidR="00A23EFE" w:rsidRPr="002B6C1F">
        <w:rPr>
          <w:rFonts w:ascii="Calibri" w:hAnsi="Calibri" w:cs="Calibri"/>
          <w:b/>
          <w:bCs/>
          <w:sz w:val="20"/>
          <w:lang w:eastAsia="pl-PL"/>
        </w:rPr>
        <w:t>.</w:t>
      </w:r>
      <w:r w:rsidR="00F67C35" w:rsidRPr="002B6C1F">
        <w:rPr>
          <w:rFonts w:ascii="Calibri" w:hAnsi="Calibri" w:cs="Calibri"/>
          <w:b/>
          <w:bCs/>
          <w:sz w:val="20"/>
          <w:lang w:eastAsia="pl-PL"/>
        </w:rPr>
        <w:t xml:space="preserve"> 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>całego spożywanego alkoholu, 9</w:t>
      </w:r>
      <w:r w:rsidR="00F67C35" w:rsidRPr="002B6C1F">
        <w:rPr>
          <w:rFonts w:ascii="Calibri" w:hAnsi="Calibri" w:cs="Calibri"/>
          <w:b/>
          <w:bCs/>
          <w:sz w:val="20"/>
          <w:lang w:eastAsia="pl-PL"/>
        </w:rPr>
        <w:t>3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>l per capita rocznie), co</w:t>
      </w:r>
      <w:r w:rsidR="00427377" w:rsidRPr="002B6C1F">
        <w:rPr>
          <w:rFonts w:ascii="Calibri" w:hAnsi="Calibri" w:cs="Calibri"/>
          <w:b/>
          <w:bCs/>
          <w:sz w:val="20"/>
          <w:lang w:eastAsia="pl-PL"/>
        </w:rPr>
        <w:t xml:space="preserve"> ma bezpośrednie przełożenie również na </w:t>
      </w:r>
      <w:r w:rsidR="0042335D" w:rsidRPr="002B6C1F">
        <w:rPr>
          <w:rFonts w:ascii="Calibri" w:hAnsi="Calibri" w:cs="Calibri"/>
          <w:b/>
          <w:bCs/>
          <w:sz w:val="20"/>
          <w:lang w:eastAsia="pl-PL"/>
        </w:rPr>
        <w:t>fakt</w:t>
      </w:r>
      <w:r w:rsidR="00427377" w:rsidRPr="002B6C1F">
        <w:rPr>
          <w:rFonts w:ascii="Calibri" w:hAnsi="Calibri" w:cs="Calibri"/>
          <w:b/>
          <w:bCs/>
          <w:sz w:val="20"/>
          <w:lang w:eastAsia="pl-PL"/>
        </w:rPr>
        <w:t>, ż</w:t>
      </w:r>
      <w:r w:rsidR="000A37AC" w:rsidRPr="002B6C1F">
        <w:rPr>
          <w:rFonts w:ascii="Calibri" w:hAnsi="Calibri" w:cs="Calibri"/>
          <w:b/>
          <w:bCs/>
          <w:sz w:val="20"/>
          <w:lang w:eastAsia="pl-PL"/>
        </w:rPr>
        <w:t xml:space="preserve">e piwo jest najczęściej kupowanym alkoholem w godzinach porannych, czyli między 5.00 do 12.00. </w:t>
      </w:r>
      <w:r w:rsidR="00742531" w:rsidRPr="002B6C1F">
        <w:rPr>
          <w:rFonts w:ascii="Calibri" w:hAnsi="Calibri" w:cs="Calibri"/>
          <w:b/>
          <w:bCs/>
          <w:sz w:val="20"/>
          <w:lang w:eastAsia="pl-PL"/>
        </w:rPr>
        <w:t>To pozwala na wniosek, że dalsze podnoszenie ceny alkoholu w małych opakowaniach nie przyniesie oczekiwanych zmian a jedynie zwiększy ryzyko, że klienci jeszcze częściej będą sięgać po alkohol z nielegalnych źródeł lub bardziej dostępny pod względem ceny.</w:t>
      </w:r>
    </w:p>
    <w:p w14:paraId="6AA2F01D" w14:textId="763BCBA2" w:rsidR="00231AEA" w:rsidRPr="002B6C1F" w:rsidRDefault="00427377" w:rsidP="00FC1914">
      <w:p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  <w:lang w:eastAsia="pl-PL"/>
        </w:rPr>
      </w:pPr>
      <w:r w:rsidRPr="002B6C1F">
        <w:rPr>
          <w:rFonts w:ascii="Calibri" w:hAnsi="Calibri" w:cs="Calibri"/>
          <w:sz w:val="20"/>
          <w:lang w:eastAsia="pl-PL"/>
        </w:rPr>
        <w:t>Polacy spożywają większość alkoholu w piwie (</w:t>
      </w:r>
      <w:r w:rsidR="00F67C35" w:rsidRPr="002B6C1F">
        <w:rPr>
          <w:rFonts w:ascii="Calibri" w:hAnsi="Calibri" w:cs="Calibri"/>
          <w:sz w:val="20"/>
          <w:lang w:eastAsia="pl-PL"/>
        </w:rPr>
        <w:t>55</w:t>
      </w:r>
      <w:r w:rsidRPr="002B6C1F">
        <w:rPr>
          <w:rFonts w:ascii="Calibri" w:hAnsi="Calibri" w:cs="Calibri"/>
          <w:sz w:val="20"/>
          <w:lang w:eastAsia="pl-PL"/>
        </w:rPr>
        <w:t xml:space="preserve"> </w:t>
      </w:r>
      <w:r w:rsidR="00F67C35" w:rsidRPr="002B6C1F">
        <w:rPr>
          <w:rFonts w:ascii="Calibri" w:hAnsi="Calibri" w:cs="Calibri"/>
          <w:sz w:val="20"/>
          <w:lang w:eastAsia="pl-PL"/>
        </w:rPr>
        <w:t>proc</w:t>
      </w:r>
      <w:r w:rsidR="00792836" w:rsidRPr="002B6C1F">
        <w:rPr>
          <w:rFonts w:ascii="Calibri" w:hAnsi="Calibri" w:cs="Calibri"/>
          <w:sz w:val="20"/>
          <w:lang w:eastAsia="pl-PL"/>
        </w:rPr>
        <w:t>.</w:t>
      </w:r>
      <w:r w:rsidR="00F67C35" w:rsidRPr="002B6C1F">
        <w:rPr>
          <w:rFonts w:ascii="Calibri" w:hAnsi="Calibri" w:cs="Calibri"/>
          <w:sz w:val="20"/>
          <w:lang w:eastAsia="pl-PL"/>
        </w:rPr>
        <w:t xml:space="preserve">), </w:t>
      </w:r>
      <w:r w:rsidRPr="002B6C1F">
        <w:rPr>
          <w:rFonts w:ascii="Calibri" w:hAnsi="Calibri" w:cs="Calibri"/>
          <w:sz w:val="20"/>
          <w:lang w:eastAsia="pl-PL"/>
        </w:rPr>
        <w:t>następnie w alkoholach mocnych (</w:t>
      </w:r>
      <w:r w:rsidR="00F67C35" w:rsidRPr="002B6C1F">
        <w:rPr>
          <w:rFonts w:ascii="Calibri" w:hAnsi="Calibri" w:cs="Calibri"/>
          <w:sz w:val="20"/>
          <w:lang w:eastAsia="pl-PL"/>
        </w:rPr>
        <w:t>37 proc</w:t>
      </w:r>
      <w:r w:rsidR="00792836" w:rsidRPr="002B6C1F">
        <w:rPr>
          <w:rFonts w:ascii="Calibri" w:hAnsi="Calibri" w:cs="Calibri"/>
          <w:sz w:val="20"/>
          <w:lang w:eastAsia="pl-PL"/>
        </w:rPr>
        <w:t>.</w:t>
      </w:r>
      <w:r w:rsidR="00F67C35" w:rsidRPr="002B6C1F">
        <w:rPr>
          <w:rFonts w:ascii="Calibri" w:hAnsi="Calibri" w:cs="Calibri"/>
          <w:sz w:val="20"/>
          <w:lang w:eastAsia="pl-PL"/>
        </w:rPr>
        <w:t xml:space="preserve">) </w:t>
      </w:r>
      <w:r w:rsidR="003854E3" w:rsidRPr="002B6C1F">
        <w:rPr>
          <w:rFonts w:ascii="Calibri" w:hAnsi="Calibri" w:cs="Calibri"/>
          <w:sz w:val="20"/>
          <w:lang w:eastAsia="pl-PL"/>
        </w:rPr>
        <w:br/>
      </w:r>
      <w:r w:rsidRPr="002B6C1F">
        <w:rPr>
          <w:rFonts w:ascii="Calibri" w:hAnsi="Calibri" w:cs="Calibri"/>
          <w:sz w:val="20"/>
          <w:lang w:eastAsia="pl-PL"/>
        </w:rPr>
        <w:t>i w winie (8</w:t>
      </w:r>
      <w:r w:rsidR="00144261" w:rsidRPr="002B6C1F">
        <w:rPr>
          <w:rFonts w:ascii="Calibri" w:hAnsi="Calibri" w:cs="Calibri"/>
          <w:sz w:val="20"/>
          <w:lang w:eastAsia="pl-PL"/>
        </w:rPr>
        <w:t xml:space="preserve"> proc.</w:t>
      </w:r>
      <w:r w:rsidRPr="002B6C1F">
        <w:rPr>
          <w:rFonts w:ascii="Calibri" w:hAnsi="Calibri" w:cs="Calibri"/>
          <w:sz w:val="20"/>
          <w:lang w:eastAsia="pl-PL"/>
        </w:rPr>
        <w:t>).</w:t>
      </w:r>
      <w:r w:rsidR="00CD6B7B" w:rsidRPr="002B6C1F">
        <w:rPr>
          <w:rFonts w:ascii="Calibri" w:hAnsi="Calibri" w:cs="Calibri"/>
          <w:sz w:val="20"/>
          <w:lang w:eastAsia="pl-PL"/>
        </w:rPr>
        <w:t xml:space="preserve"> Dzienna</w:t>
      </w:r>
      <w:r w:rsidR="003854E3" w:rsidRPr="002B6C1F">
        <w:rPr>
          <w:rFonts w:ascii="Calibri" w:hAnsi="Calibri" w:cs="Calibri"/>
          <w:sz w:val="20"/>
          <w:lang w:eastAsia="pl-PL"/>
        </w:rPr>
        <w:t xml:space="preserve"> </w:t>
      </w:r>
      <w:r w:rsidR="00CD6B7B" w:rsidRPr="002B6C1F">
        <w:rPr>
          <w:rFonts w:ascii="Calibri" w:hAnsi="Calibri" w:cs="Calibri"/>
          <w:sz w:val="20"/>
          <w:lang w:eastAsia="pl-PL"/>
        </w:rPr>
        <w:t>sprzedaż małych formatów napojów spirytusowych we wszystkich pojemnościach 90 ml, 100 ml oraz 200 ml</w:t>
      </w:r>
      <w:r w:rsidR="00CD6B7B" w:rsidRPr="002B6C1F">
        <w:rPr>
          <w:rFonts w:ascii="Calibri" w:hAnsi="Calibri" w:cs="Calibri"/>
          <w:sz w:val="20"/>
          <w:vertAlign w:val="superscript"/>
          <w:lang w:eastAsia="pl-PL"/>
        </w:rPr>
        <w:t>1</w:t>
      </w:r>
      <w:r w:rsidR="00CD6B7B" w:rsidRPr="002B6C1F">
        <w:rPr>
          <w:rFonts w:ascii="Calibri" w:hAnsi="Calibri" w:cs="Calibri"/>
          <w:sz w:val="20"/>
          <w:lang w:eastAsia="pl-PL"/>
        </w:rPr>
        <w:t xml:space="preserve"> wynosi 1,3 mln, z czego w samych godzinach porannych </w:t>
      </w:r>
      <w:r w:rsidR="003E4892" w:rsidRPr="002B6C1F">
        <w:rPr>
          <w:rFonts w:ascii="Calibri" w:hAnsi="Calibri" w:cs="Calibri"/>
          <w:sz w:val="20"/>
          <w:lang w:eastAsia="pl-PL"/>
        </w:rPr>
        <w:br/>
      </w:r>
      <w:r w:rsidR="00CD6B7B" w:rsidRPr="002B6C1F">
        <w:rPr>
          <w:rFonts w:ascii="Calibri" w:hAnsi="Calibri" w:cs="Calibri"/>
          <w:sz w:val="20"/>
          <w:lang w:eastAsia="pl-PL"/>
        </w:rPr>
        <w:t>to około 410 </w:t>
      </w:r>
      <w:r w:rsidR="00F67C35" w:rsidRPr="002B6C1F">
        <w:rPr>
          <w:rFonts w:ascii="Calibri" w:hAnsi="Calibri" w:cs="Calibri"/>
          <w:sz w:val="20"/>
          <w:lang w:eastAsia="pl-PL"/>
        </w:rPr>
        <w:t xml:space="preserve">tys. </w:t>
      </w:r>
      <w:r w:rsidR="00CD6B7B" w:rsidRPr="002B6C1F">
        <w:rPr>
          <w:rFonts w:ascii="Calibri" w:hAnsi="Calibri" w:cs="Calibri"/>
          <w:sz w:val="20"/>
          <w:lang w:eastAsia="pl-PL"/>
        </w:rPr>
        <w:t>sztuk, czyli 31</w:t>
      </w:r>
      <w:r w:rsidR="00144261" w:rsidRPr="002B6C1F">
        <w:rPr>
          <w:rFonts w:ascii="Calibri" w:hAnsi="Calibri" w:cs="Calibri"/>
          <w:sz w:val="20"/>
          <w:lang w:eastAsia="pl-PL"/>
        </w:rPr>
        <w:t xml:space="preserve"> proc.</w:t>
      </w:r>
      <w:r w:rsidR="00CD6B7B" w:rsidRPr="002B6C1F">
        <w:rPr>
          <w:rFonts w:ascii="Calibri" w:hAnsi="Calibri" w:cs="Calibri"/>
          <w:sz w:val="20"/>
          <w:lang w:eastAsia="pl-PL"/>
        </w:rPr>
        <w:t xml:space="preserve"> dziennej sprzedaży.</w:t>
      </w:r>
      <w:r w:rsidR="003854E3" w:rsidRPr="002B6C1F">
        <w:rPr>
          <w:rFonts w:ascii="Calibri" w:hAnsi="Calibri" w:cs="Calibri"/>
          <w:sz w:val="20"/>
          <w:lang w:eastAsia="pl-PL"/>
        </w:rPr>
        <w:t xml:space="preserve"> Dla porównania Polacy codziennie </w:t>
      </w:r>
      <w:r w:rsidRPr="002B6C1F">
        <w:rPr>
          <w:rFonts w:ascii="Calibri" w:hAnsi="Calibri" w:cs="Calibri"/>
          <w:sz w:val="20"/>
          <w:lang w:eastAsia="pl-PL"/>
        </w:rPr>
        <w:t xml:space="preserve">kupują </w:t>
      </w:r>
      <w:r w:rsidR="00792836" w:rsidRPr="002B6C1F">
        <w:rPr>
          <w:rFonts w:ascii="Calibri" w:hAnsi="Calibri" w:cs="Calibri"/>
          <w:sz w:val="20"/>
          <w:lang w:eastAsia="pl-PL"/>
        </w:rPr>
        <w:br/>
      </w:r>
      <w:r w:rsidRPr="002B6C1F">
        <w:rPr>
          <w:rFonts w:ascii="Calibri" w:hAnsi="Calibri" w:cs="Calibri"/>
          <w:sz w:val="20"/>
          <w:lang w:eastAsia="pl-PL"/>
        </w:rPr>
        <w:t>9,4 mln</w:t>
      </w:r>
      <w:r w:rsidRPr="002B6C1F">
        <w:rPr>
          <w:rFonts w:ascii="Calibri" w:hAnsi="Calibri" w:cs="Calibri"/>
          <w:b/>
          <w:bCs/>
          <w:sz w:val="20"/>
          <w:lang w:eastAsia="pl-PL"/>
        </w:rPr>
        <w:t xml:space="preserve"> </w:t>
      </w:r>
      <w:r w:rsidRPr="002B6C1F">
        <w:rPr>
          <w:rFonts w:ascii="Calibri" w:hAnsi="Calibri" w:cs="Calibri"/>
          <w:sz w:val="20"/>
          <w:lang w:eastAsia="pl-PL"/>
        </w:rPr>
        <w:t xml:space="preserve">sztuk puszek lub butelek piwa, w tym 1,1 mln opakowań piw mocnych z czego 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tylko w samych </w:t>
      </w:r>
      <w:r w:rsidRPr="002B6C1F">
        <w:rPr>
          <w:rFonts w:ascii="Calibri" w:hAnsi="Calibri" w:cs="Calibri"/>
          <w:sz w:val="20"/>
          <w:lang w:eastAsia="pl-PL"/>
        </w:rPr>
        <w:t xml:space="preserve">godzinach porannych, czyli od </w:t>
      </w:r>
      <w:r w:rsidR="00F67C35" w:rsidRPr="002B6C1F">
        <w:rPr>
          <w:rFonts w:ascii="Calibri" w:hAnsi="Calibri" w:cs="Calibri"/>
          <w:sz w:val="20"/>
          <w:lang w:eastAsia="pl-PL"/>
        </w:rPr>
        <w:t>5</w:t>
      </w:r>
      <w:r w:rsidRPr="002B6C1F">
        <w:rPr>
          <w:rFonts w:ascii="Calibri" w:hAnsi="Calibri" w:cs="Calibri"/>
          <w:sz w:val="20"/>
          <w:lang w:eastAsia="pl-PL"/>
        </w:rPr>
        <w:t>.00</w:t>
      </w:r>
      <w:r w:rsidR="00792836" w:rsidRPr="002B6C1F">
        <w:rPr>
          <w:rFonts w:ascii="Calibri" w:hAnsi="Calibri" w:cs="Calibri"/>
          <w:sz w:val="20"/>
          <w:lang w:eastAsia="pl-PL"/>
        </w:rPr>
        <w:t xml:space="preserve"> do</w:t>
      </w:r>
      <w:r w:rsidRPr="002B6C1F">
        <w:rPr>
          <w:rFonts w:ascii="Calibri" w:hAnsi="Calibri" w:cs="Calibri"/>
          <w:sz w:val="20"/>
          <w:lang w:eastAsia="pl-PL"/>
        </w:rPr>
        <w:t xml:space="preserve"> 12.00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, jest to </w:t>
      </w:r>
      <w:r w:rsidRPr="002B6C1F">
        <w:rPr>
          <w:rFonts w:ascii="Calibri" w:hAnsi="Calibri" w:cs="Calibri"/>
          <w:sz w:val="20"/>
          <w:lang w:eastAsia="pl-PL"/>
        </w:rPr>
        <w:t>prawie 2,6 mln szt</w:t>
      </w:r>
      <w:r w:rsidR="00604F67" w:rsidRPr="002B6C1F">
        <w:rPr>
          <w:rFonts w:ascii="Calibri" w:hAnsi="Calibri" w:cs="Calibri"/>
          <w:sz w:val="20"/>
          <w:lang w:eastAsia="pl-PL"/>
        </w:rPr>
        <w:t xml:space="preserve">uk </w:t>
      </w:r>
      <w:r w:rsidRPr="002B6C1F">
        <w:rPr>
          <w:rFonts w:ascii="Calibri" w:hAnsi="Calibri" w:cs="Calibri"/>
          <w:sz w:val="20"/>
          <w:lang w:eastAsia="pl-PL"/>
        </w:rPr>
        <w:t>piwa – co daje 31</w:t>
      </w:r>
      <w:r w:rsidR="00144261" w:rsidRPr="002B6C1F">
        <w:rPr>
          <w:rFonts w:ascii="Calibri" w:hAnsi="Calibri" w:cs="Calibri"/>
          <w:sz w:val="20"/>
          <w:lang w:eastAsia="pl-PL"/>
        </w:rPr>
        <w:t xml:space="preserve"> proc.</w:t>
      </w:r>
      <w:r w:rsidRPr="002B6C1F">
        <w:rPr>
          <w:rFonts w:ascii="Calibri" w:hAnsi="Calibri" w:cs="Calibri"/>
          <w:sz w:val="20"/>
          <w:lang w:eastAsia="pl-PL"/>
        </w:rPr>
        <w:t xml:space="preserve"> dziennej sprzedaży</w:t>
      </w:r>
      <w:r w:rsidR="007C1D13" w:rsidRPr="002B6C1F">
        <w:rPr>
          <w:rFonts w:ascii="Calibri" w:hAnsi="Calibri" w:cs="Calibri"/>
          <w:sz w:val="20"/>
          <w:lang w:eastAsia="pl-PL"/>
        </w:rPr>
        <w:t>. P</w:t>
      </w:r>
      <w:r w:rsidRPr="002B6C1F">
        <w:rPr>
          <w:rFonts w:ascii="Calibri" w:hAnsi="Calibri" w:cs="Calibri"/>
          <w:sz w:val="20"/>
          <w:lang w:eastAsia="pl-PL"/>
        </w:rPr>
        <w:t xml:space="preserve">atrząc </w:t>
      </w:r>
      <w:r w:rsidR="007C1D13" w:rsidRPr="002B6C1F">
        <w:rPr>
          <w:rFonts w:ascii="Calibri" w:hAnsi="Calibri" w:cs="Calibri"/>
          <w:sz w:val="20"/>
          <w:lang w:eastAsia="pl-PL"/>
        </w:rPr>
        <w:t>wyłącznie</w:t>
      </w:r>
      <w:r w:rsidRPr="002B6C1F">
        <w:rPr>
          <w:rFonts w:ascii="Calibri" w:hAnsi="Calibri" w:cs="Calibri"/>
          <w:sz w:val="20"/>
          <w:lang w:eastAsia="pl-PL"/>
        </w:rPr>
        <w:t xml:space="preserve"> na piwa mocne jest </w:t>
      </w:r>
      <w:r w:rsidR="007C1D13" w:rsidRPr="002B6C1F">
        <w:rPr>
          <w:rFonts w:ascii="Calibri" w:hAnsi="Calibri" w:cs="Calibri"/>
          <w:sz w:val="20"/>
          <w:lang w:eastAsia="pl-PL"/>
        </w:rPr>
        <w:t xml:space="preserve">to </w:t>
      </w:r>
      <w:r w:rsidR="00144261" w:rsidRPr="002B6C1F">
        <w:rPr>
          <w:rFonts w:ascii="Calibri" w:hAnsi="Calibri" w:cs="Calibri"/>
          <w:sz w:val="20"/>
          <w:lang w:eastAsia="pl-PL"/>
        </w:rPr>
        <w:t xml:space="preserve">ponad </w:t>
      </w:r>
      <w:r w:rsidRPr="002B6C1F">
        <w:rPr>
          <w:rFonts w:ascii="Calibri" w:hAnsi="Calibri" w:cs="Calibri"/>
          <w:sz w:val="20"/>
          <w:lang w:eastAsia="pl-PL"/>
        </w:rPr>
        <w:t>402 </w:t>
      </w:r>
      <w:r w:rsidR="00144261" w:rsidRPr="002B6C1F">
        <w:rPr>
          <w:rFonts w:ascii="Calibri" w:hAnsi="Calibri" w:cs="Calibri"/>
          <w:sz w:val="20"/>
          <w:lang w:eastAsia="pl-PL"/>
        </w:rPr>
        <w:t>tys.</w:t>
      </w:r>
      <w:r w:rsidRPr="002B6C1F">
        <w:rPr>
          <w:rFonts w:ascii="Calibri" w:hAnsi="Calibri" w:cs="Calibri"/>
          <w:sz w:val="20"/>
          <w:lang w:eastAsia="pl-PL"/>
        </w:rPr>
        <w:t xml:space="preserve"> sztuk, co daje 37</w:t>
      </w:r>
      <w:r w:rsidR="00144261" w:rsidRPr="002B6C1F">
        <w:rPr>
          <w:rFonts w:ascii="Calibri" w:hAnsi="Calibri" w:cs="Calibri"/>
          <w:sz w:val="20"/>
          <w:lang w:eastAsia="pl-PL"/>
        </w:rPr>
        <w:t xml:space="preserve"> proc.</w:t>
      </w:r>
      <w:r w:rsidRPr="002B6C1F">
        <w:rPr>
          <w:rFonts w:ascii="Calibri" w:hAnsi="Calibri" w:cs="Calibri"/>
          <w:sz w:val="20"/>
          <w:lang w:eastAsia="pl-PL"/>
        </w:rPr>
        <w:t xml:space="preserve"> dziennej</w:t>
      </w:r>
      <w:r w:rsidR="00EE0344" w:rsidRPr="002B6C1F">
        <w:rPr>
          <w:rFonts w:ascii="Calibri" w:hAnsi="Calibri" w:cs="Calibri"/>
          <w:sz w:val="20"/>
          <w:lang w:eastAsia="pl-PL"/>
        </w:rPr>
        <w:t xml:space="preserve"> sprzedaży</w:t>
      </w:r>
      <w:r w:rsidRPr="002B6C1F">
        <w:rPr>
          <w:rFonts w:ascii="Calibri" w:hAnsi="Calibri" w:cs="Calibri"/>
          <w:sz w:val="20"/>
          <w:lang w:eastAsia="pl-PL"/>
        </w:rPr>
        <w:t xml:space="preserve">. </w:t>
      </w:r>
      <w:r w:rsidR="005A2554" w:rsidRPr="002B6C1F">
        <w:rPr>
          <w:rFonts w:ascii="Calibri" w:hAnsi="Calibri" w:cs="Calibri"/>
          <w:sz w:val="20"/>
          <w:lang w:eastAsia="pl-PL"/>
        </w:rPr>
        <w:t>P</w:t>
      </w:r>
      <w:r w:rsidR="0042335D" w:rsidRPr="002B6C1F">
        <w:rPr>
          <w:rFonts w:ascii="Calibri" w:hAnsi="Calibri" w:cs="Calibri"/>
          <w:sz w:val="20"/>
          <w:lang w:eastAsia="pl-PL"/>
        </w:rPr>
        <w:t>rawie co trzecia puszka piwa kupowana przed południem to puszka typu „</w:t>
      </w:r>
      <w:proofErr w:type="spellStart"/>
      <w:r w:rsidR="0042335D" w:rsidRPr="002B6C1F">
        <w:rPr>
          <w:rFonts w:ascii="Calibri" w:hAnsi="Calibri" w:cs="Calibri"/>
          <w:sz w:val="20"/>
          <w:lang w:eastAsia="pl-PL"/>
        </w:rPr>
        <w:t>strong</w:t>
      </w:r>
      <w:proofErr w:type="spellEnd"/>
      <w:r w:rsidR="0042335D" w:rsidRPr="002B6C1F">
        <w:rPr>
          <w:rFonts w:ascii="Calibri" w:hAnsi="Calibri" w:cs="Calibri"/>
          <w:sz w:val="20"/>
          <w:lang w:eastAsia="pl-PL"/>
        </w:rPr>
        <w:t xml:space="preserve">”. Sprzedaż piwa 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w </w:t>
      </w:r>
      <w:r w:rsidR="0042335D" w:rsidRPr="002B6C1F">
        <w:rPr>
          <w:rFonts w:ascii="Calibri" w:hAnsi="Calibri" w:cs="Calibri"/>
          <w:sz w:val="20"/>
          <w:lang w:eastAsia="pl-PL"/>
        </w:rPr>
        <w:t xml:space="preserve">godzinach porannych jest prawie dwukrotnie wyższa niż </w:t>
      </w:r>
      <w:r w:rsidR="00005B68" w:rsidRPr="002B6C1F">
        <w:rPr>
          <w:rFonts w:ascii="Calibri" w:hAnsi="Calibri" w:cs="Calibri"/>
          <w:sz w:val="20"/>
          <w:lang w:eastAsia="pl-PL"/>
        </w:rPr>
        <w:t>alkoholi</w:t>
      </w:r>
      <w:r w:rsidR="002B6C1F">
        <w:rPr>
          <w:rFonts w:ascii="Calibri" w:hAnsi="Calibri" w:cs="Calibri"/>
          <w:sz w:val="20"/>
          <w:lang w:eastAsia="pl-PL"/>
        </w:rPr>
        <w:br/>
      </w:r>
      <w:r w:rsidR="0042335D" w:rsidRPr="002B6C1F">
        <w:rPr>
          <w:rFonts w:ascii="Calibri" w:hAnsi="Calibri" w:cs="Calibri"/>
          <w:sz w:val="20"/>
          <w:lang w:eastAsia="pl-PL"/>
        </w:rPr>
        <w:t xml:space="preserve">w małych pojemnościach. </w:t>
      </w:r>
    </w:p>
    <w:p w14:paraId="42B8695C" w14:textId="6EFFFFAF" w:rsidR="00231AEA" w:rsidRPr="002B6C1F" w:rsidRDefault="0042335D" w:rsidP="00FC1914">
      <w:p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  <w:lang w:eastAsia="pl-PL"/>
        </w:rPr>
      </w:pPr>
      <w:r w:rsidRPr="002B6C1F">
        <w:rPr>
          <w:rFonts w:ascii="Calibri" w:hAnsi="Calibri" w:cs="Calibri"/>
          <w:sz w:val="20"/>
          <w:lang w:eastAsia="pl-PL"/>
        </w:rPr>
        <w:t>To, że p</w:t>
      </w:r>
      <w:r w:rsidR="00231AEA" w:rsidRPr="002B6C1F">
        <w:rPr>
          <w:rFonts w:ascii="Calibri" w:hAnsi="Calibri" w:cs="Calibri"/>
          <w:sz w:val="20"/>
          <w:lang w:eastAsia="pl-PL"/>
        </w:rPr>
        <w:t>iwo jest najczęściej spożywanym napojem alkoholowym w Polsce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 </w:t>
      </w:r>
      <w:r w:rsidR="005A2554" w:rsidRPr="002B6C1F">
        <w:rPr>
          <w:rFonts w:ascii="Calibri" w:hAnsi="Calibri" w:cs="Calibri"/>
          <w:sz w:val="20"/>
          <w:lang w:eastAsia="pl-PL"/>
        </w:rPr>
        <w:t>a jego sprzedaż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 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nawet </w:t>
      </w:r>
      <w:r w:rsidR="003854E3" w:rsidRPr="002B6C1F">
        <w:rPr>
          <w:rFonts w:ascii="Calibri" w:hAnsi="Calibri" w:cs="Calibri"/>
          <w:sz w:val="20"/>
          <w:lang w:eastAsia="pl-PL"/>
        </w:rPr>
        <w:br/>
      </w:r>
      <w:r w:rsidR="008D757B" w:rsidRPr="002B6C1F">
        <w:rPr>
          <w:rFonts w:ascii="Calibri" w:hAnsi="Calibri" w:cs="Calibri"/>
          <w:sz w:val="20"/>
          <w:lang w:eastAsia="pl-PL"/>
        </w:rPr>
        <w:t>w godzinach porannych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 </w:t>
      </w:r>
      <w:r w:rsidR="009A2C14" w:rsidRPr="002B6C1F">
        <w:rPr>
          <w:rFonts w:ascii="Calibri" w:hAnsi="Calibri" w:cs="Calibri"/>
          <w:sz w:val="20"/>
          <w:lang w:eastAsia="pl-PL"/>
        </w:rPr>
        <w:t xml:space="preserve">jest wyższa niż 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napojów spirytusowych </w:t>
      </w:r>
      <w:r w:rsidR="00231AEA" w:rsidRPr="002B6C1F">
        <w:rPr>
          <w:rFonts w:ascii="Calibri" w:hAnsi="Calibri" w:cs="Calibri"/>
          <w:sz w:val="20"/>
          <w:lang w:eastAsia="pl-PL"/>
        </w:rPr>
        <w:t xml:space="preserve">wynika 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z wielu czynników. </w:t>
      </w:r>
      <w:r w:rsidR="009A2C14" w:rsidRPr="002B6C1F">
        <w:rPr>
          <w:rFonts w:ascii="Calibri" w:hAnsi="Calibri" w:cs="Calibri"/>
          <w:sz w:val="20"/>
          <w:lang w:eastAsia="pl-PL"/>
        </w:rPr>
        <w:t xml:space="preserve">Po pierwsze 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z </w:t>
      </w:r>
      <w:r w:rsidR="009A2C14" w:rsidRPr="002B6C1F">
        <w:rPr>
          <w:rFonts w:ascii="Calibri" w:hAnsi="Calibri" w:cs="Calibri"/>
          <w:sz w:val="20"/>
          <w:lang w:eastAsia="pl-PL"/>
        </w:rPr>
        <w:t>r</w:t>
      </w:r>
      <w:r w:rsidR="005A2554" w:rsidRPr="002B6C1F">
        <w:rPr>
          <w:rFonts w:ascii="Calibri" w:hAnsi="Calibri" w:cs="Calibri"/>
          <w:sz w:val="20"/>
          <w:lang w:eastAsia="pl-PL"/>
        </w:rPr>
        <w:t>eklamy</w:t>
      </w:r>
      <w:r w:rsidR="00231AEA" w:rsidRPr="002B6C1F">
        <w:rPr>
          <w:rFonts w:ascii="Calibri" w:hAnsi="Calibri" w:cs="Calibri"/>
          <w:sz w:val="20"/>
          <w:lang w:eastAsia="pl-PL"/>
        </w:rPr>
        <w:t xml:space="preserve">, </w:t>
      </w:r>
      <w:r w:rsidR="0064351F" w:rsidRPr="002B6C1F">
        <w:rPr>
          <w:rFonts w:ascii="Calibri" w:hAnsi="Calibri" w:cs="Calibri"/>
          <w:sz w:val="20"/>
          <w:lang w:eastAsia="pl-PL"/>
        </w:rPr>
        <w:t xml:space="preserve">która </w:t>
      </w:r>
      <w:r w:rsidR="00231AEA" w:rsidRPr="002B6C1F">
        <w:rPr>
          <w:rFonts w:ascii="Calibri" w:hAnsi="Calibri" w:cs="Calibri"/>
          <w:sz w:val="20"/>
          <w:lang w:eastAsia="pl-PL"/>
        </w:rPr>
        <w:t>przedstawia piwo jako symbol relaksu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 </w:t>
      </w:r>
      <w:r w:rsidR="00231AEA" w:rsidRPr="002B6C1F">
        <w:rPr>
          <w:rFonts w:ascii="Calibri" w:hAnsi="Calibri" w:cs="Calibri"/>
          <w:sz w:val="20"/>
          <w:lang w:eastAsia="pl-PL"/>
        </w:rPr>
        <w:t xml:space="preserve">i dobrej zabawy, przez co Polacy często 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w ogóle </w:t>
      </w:r>
      <w:r w:rsidR="00231AEA" w:rsidRPr="002B6C1F">
        <w:rPr>
          <w:rFonts w:ascii="Calibri" w:hAnsi="Calibri" w:cs="Calibri"/>
          <w:sz w:val="20"/>
          <w:lang w:eastAsia="pl-PL"/>
        </w:rPr>
        <w:t xml:space="preserve">nie postrzegają </w:t>
      </w:r>
      <w:r w:rsidR="009A2C14" w:rsidRPr="002B6C1F">
        <w:rPr>
          <w:rFonts w:ascii="Calibri" w:hAnsi="Calibri" w:cs="Calibri"/>
          <w:sz w:val="20"/>
          <w:lang w:eastAsia="pl-PL"/>
        </w:rPr>
        <w:t>piwa</w:t>
      </w:r>
      <w:r w:rsidR="005A2554" w:rsidRPr="002B6C1F">
        <w:rPr>
          <w:rFonts w:ascii="Calibri" w:hAnsi="Calibri" w:cs="Calibri"/>
          <w:sz w:val="20"/>
          <w:lang w:eastAsia="pl-PL"/>
        </w:rPr>
        <w:t xml:space="preserve"> </w:t>
      </w:r>
      <w:r w:rsidR="00231AEA" w:rsidRPr="002B6C1F">
        <w:rPr>
          <w:rFonts w:ascii="Calibri" w:hAnsi="Calibri" w:cs="Calibri"/>
          <w:sz w:val="20"/>
          <w:lang w:eastAsia="pl-PL"/>
        </w:rPr>
        <w:t xml:space="preserve">jako alkoholu. </w:t>
      </w:r>
      <w:r w:rsidR="00EF31B5" w:rsidRPr="002B6C1F">
        <w:rPr>
          <w:rFonts w:ascii="Calibri" w:hAnsi="Calibri" w:cs="Calibri"/>
          <w:sz w:val="20"/>
          <w:lang w:eastAsia="pl-PL"/>
        </w:rPr>
        <w:t>A</w:t>
      </w:r>
      <w:r w:rsidR="00231AEA" w:rsidRPr="002B6C1F">
        <w:rPr>
          <w:rFonts w:ascii="Calibri" w:hAnsi="Calibri" w:cs="Calibri"/>
          <w:sz w:val="20"/>
          <w:lang w:eastAsia="pl-PL"/>
        </w:rPr>
        <w:t xml:space="preserve"> półlitrowa puszka lub butelka piwa lager zawiera dokładnie tyle samo alkoholu co 100 ml alkoholu </w:t>
      </w:r>
      <w:r w:rsidR="0015093B" w:rsidRPr="002B6C1F">
        <w:rPr>
          <w:rFonts w:ascii="Calibri" w:hAnsi="Calibri" w:cs="Calibri"/>
          <w:sz w:val="20"/>
          <w:lang w:eastAsia="pl-PL"/>
        </w:rPr>
        <w:t>28</w:t>
      </w:r>
      <w:r w:rsidR="00E2007E" w:rsidRPr="002B6C1F">
        <w:rPr>
          <w:rFonts w:ascii="Calibri" w:hAnsi="Calibri" w:cs="Calibri"/>
          <w:sz w:val="20"/>
          <w:lang w:eastAsia="pl-PL"/>
        </w:rPr>
        <w:t xml:space="preserve"> proc.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, </w:t>
      </w:r>
      <w:r w:rsidR="002B6C1F">
        <w:rPr>
          <w:rFonts w:ascii="Calibri" w:hAnsi="Calibri" w:cs="Calibri"/>
          <w:sz w:val="20"/>
          <w:lang w:eastAsia="pl-PL"/>
        </w:rPr>
        <w:br/>
      </w:r>
      <w:r w:rsidR="00231AEA" w:rsidRPr="002B6C1F">
        <w:rPr>
          <w:rFonts w:ascii="Calibri" w:hAnsi="Calibri" w:cs="Calibri"/>
          <w:sz w:val="20"/>
          <w:lang w:eastAsia="pl-PL"/>
        </w:rPr>
        <w:t>czyli 22 gramy.</w:t>
      </w:r>
      <w:r w:rsidR="0064351F" w:rsidRPr="002B6C1F">
        <w:rPr>
          <w:rFonts w:ascii="Calibri" w:hAnsi="Calibri" w:cs="Calibri"/>
          <w:sz w:val="20"/>
          <w:lang w:eastAsia="pl-PL"/>
        </w:rPr>
        <w:t xml:space="preserve"> </w:t>
      </w:r>
    </w:p>
    <w:p w14:paraId="6401F1F3" w14:textId="4AA072B6" w:rsidR="00D12AB8" w:rsidRPr="002B6C1F" w:rsidRDefault="005A2554" w:rsidP="00FC1914">
      <w:p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</w:rPr>
      </w:pPr>
      <w:r w:rsidRPr="002B6C1F">
        <w:rPr>
          <w:rFonts w:ascii="Calibri" w:hAnsi="Calibri" w:cs="Calibri"/>
          <w:sz w:val="20"/>
          <w:lang w:eastAsia="pl-PL"/>
        </w:rPr>
        <w:t xml:space="preserve">Drugim ważnym czynnikiem jest cena. 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Piwo jest </w:t>
      </w:r>
      <w:r w:rsidRPr="002B6C1F">
        <w:rPr>
          <w:rFonts w:ascii="Calibri" w:hAnsi="Calibri" w:cs="Calibri"/>
          <w:sz w:val="20"/>
          <w:lang w:eastAsia="pl-PL"/>
        </w:rPr>
        <w:t>obecnie</w:t>
      </w:r>
      <w:r w:rsidR="0042335D" w:rsidRPr="002B6C1F">
        <w:rPr>
          <w:rFonts w:ascii="Calibri" w:hAnsi="Calibri" w:cs="Calibri"/>
          <w:sz w:val="20"/>
          <w:lang w:eastAsia="pl-PL"/>
        </w:rPr>
        <w:t xml:space="preserve"> 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najbardziej przystępnym </w:t>
      </w:r>
      <w:r w:rsidR="00792836" w:rsidRPr="002B6C1F">
        <w:rPr>
          <w:rFonts w:ascii="Calibri" w:hAnsi="Calibri" w:cs="Calibri"/>
          <w:sz w:val="20"/>
          <w:lang w:eastAsia="pl-PL"/>
        </w:rPr>
        <w:t xml:space="preserve">ekonomicznie </w:t>
      </w:r>
      <w:r w:rsidR="008D757B" w:rsidRPr="002B6C1F">
        <w:rPr>
          <w:rFonts w:ascii="Calibri" w:hAnsi="Calibri" w:cs="Calibri"/>
          <w:sz w:val="20"/>
          <w:lang w:eastAsia="pl-PL"/>
        </w:rPr>
        <w:t>alkohole</w:t>
      </w:r>
      <w:r w:rsidR="0042335D" w:rsidRPr="002B6C1F">
        <w:rPr>
          <w:rFonts w:ascii="Calibri" w:hAnsi="Calibri" w:cs="Calibri"/>
          <w:sz w:val="20"/>
          <w:lang w:eastAsia="pl-PL"/>
        </w:rPr>
        <w:t>m</w:t>
      </w:r>
      <w:r w:rsidRPr="002B6C1F">
        <w:rPr>
          <w:rFonts w:ascii="Calibri" w:hAnsi="Calibri" w:cs="Calibri"/>
          <w:sz w:val="20"/>
          <w:lang w:eastAsia="pl-PL"/>
        </w:rPr>
        <w:t xml:space="preserve"> dla konsumentów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. </w:t>
      </w:r>
      <w:r w:rsidR="009A2C14" w:rsidRPr="002B6C1F">
        <w:rPr>
          <w:rFonts w:ascii="Calibri" w:hAnsi="Calibri" w:cs="Calibri"/>
          <w:sz w:val="20"/>
          <w:lang w:eastAsia="pl-PL"/>
        </w:rPr>
        <w:t>Małe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 opakowania napojów spirytusowych, o pojemności do 300 ml, </w:t>
      </w:r>
      <w:r w:rsidR="003E4892" w:rsidRPr="002B6C1F">
        <w:rPr>
          <w:rFonts w:ascii="Calibri" w:hAnsi="Calibri" w:cs="Calibri"/>
          <w:sz w:val="20"/>
          <w:lang w:eastAsia="pl-PL"/>
        </w:rPr>
        <w:br/>
      </w:r>
      <w:r w:rsidR="008D757B" w:rsidRPr="002B6C1F">
        <w:rPr>
          <w:rFonts w:ascii="Calibri" w:hAnsi="Calibri" w:cs="Calibri"/>
          <w:sz w:val="20"/>
          <w:lang w:eastAsia="pl-PL"/>
        </w:rPr>
        <w:t xml:space="preserve">są </w:t>
      </w:r>
      <w:r w:rsidR="009A2C14" w:rsidRPr="002B6C1F">
        <w:rPr>
          <w:rFonts w:ascii="Calibri" w:hAnsi="Calibri" w:cs="Calibri"/>
          <w:sz w:val="20"/>
          <w:lang w:eastAsia="pl-PL"/>
        </w:rPr>
        <w:t xml:space="preserve">z kolei </w:t>
      </w:r>
      <w:r w:rsidR="008D757B" w:rsidRPr="002B6C1F">
        <w:rPr>
          <w:rFonts w:ascii="Calibri" w:hAnsi="Calibri" w:cs="Calibri"/>
          <w:sz w:val="20"/>
          <w:lang w:eastAsia="pl-PL"/>
        </w:rPr>
        <w:t>najmniej dostępne cenowo spośród wszystkich rodzajów alkoholu.</w:t>
      </w:r>
      <w:r w:rsidR="0042335D" w:rsidRPr="002B6C1F">
        <w:rPr>
          <w:rFonts w:ascii="Calibri" w:hAnsi="Calibri" w:cs="Calibri"/>
          <w:sz w:val="20"/>
          <w:lang w:eastAsia="pl-PL"/>
        </w:rPr>
        <w:t xml:space="preserve"> Ta różnica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 </w:t>
      </w:r>
      <w:r w:rsidR="0042335D" w:rsidRPr="002B6C1F">
        <w:rPr>
          <w:rFonts w:ascii="Calibri" w:hAnsi="Calibri" w:cs="Calibri"/>
          <w:sz w:val="20"/>
          <w:lang w:eastAsia="pl-PL"/>
        </w:rPr>
        <w:t>wynika przede wszystkim</w:t>
      </w:r>
      <w:r w:rsidR="002B6C1F">
        <w:rPr>
          <w:rFonts w:ascii="Calibri" w:hAnsi="Calibri" w:cs="Calibri"/>
          <w:sz w:val="20"/>
          <w:lang w:eastAsia="pl-PL"/>
        </w:rPr>
        <w:br/>
      </w:r>
      <w:r w:rsidR="00D12AB8" w:rsidRPr="002B6C1F">
        <w:rPr>
          <w:rFonts w:ascii="Calibri" w:hAnsi="Calibri" w:cs="Calibri"/>
          <w:sz w:val="20"/>
          <w:lang w:eastAsia="pl-PL"/>
        </w:rPr>
        <w:t>z</w:t>
      </w:r>
      <w:r w:rsidRPr="002B6C1F">
        <w:rPr>
          <w:rFonts w:ascii="Calibri" w:hAnsi="Calibri" w:cs="Calibri"/>
          <w:sz w:val="20"/>
          <w:lang w:eastAsia="pl-PL"/>
        </w:rPr>
        <w:t xml:space="preserve"> dysproporcj</w:t>
      </w:r>
      <w:r w:rsidR="00D12AB8" w:rsidRPr="002B6C1F">
        <w:rPr>
          <w:rFonts w:ascii="Calibri" w:hAnsi="Calibri" w:cs="Calibri"/>
          <w:sz w:val="20"/>
          <w:lang w:eastAsia="pl-PL"/>
        </w:rPr>
        <w:t>i</w:t>
      </w:r>
      <w:r w:rsidRPr="002B6C1F">
        <w:rPr>
          <w:rFonts w:ascii="Calibri" w:hAnsi="Calibri" w:cs="Calibri"/>
          <w:sz w:val="20"/>
          <w:lang w:eastAsia="pl-PL"/>
        </w:rPr>
        <w:t xml:space="preserve"> 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w </w:t>
      </w:r>
      <w:r w:rsidR="009A2C14" w:rsidRPr="002B6C1F">
        <w:rPr>
          <w:rFonts w:ascii="Calibri" w:hAnsi="Calibri" w:cs="Calibri"/>
          <w:sz w:val="20"/>
          <w:lang w:eastAsia="pl-PL"/>
        </w:rPr>
        <w:t>opłat</w:t>
      </w:r>
      <w:r w:rsidR="00D12AB8" w:rsidRPr="002B6C1F">
        <w:rPr>
          <w:rFonts w:ascii="Calibri" w:hAnsi="Calibri" w:cs="Calibri"/>
          <w:sz w:val="20"/>
          <w:lang w:eastAsia="pl-PL"/>
        </w:rPr>
        <w:t>ach</w:t>
      </w:r>
      <w:r w:rsidR="009A2C14" w:rsidRPr="002B6C1F">
        <w:rPr>
          <w:rFonts w:ascii="Calibri" w:hAnsi="Calibri" w:cs="Calibri"/>
          <w:sz w:val="20"/>
          <w:lang w:eastAsia="pl-PL"/>
        </w:rPr>
        <w:t xml:space="preserve"> akcyzowych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. </w:t>
      </w:r>
      <w:r w:rsidR="009A2C14" w:rsidRPr="002B6C1F">
        <w:rPr>
          <w:rFonts w:ascii="Calibri" w:hAnsi="Calibri" w:cs="Calibri"/>
          <w:sz w:val="20"/>
          <w:lang w:eastAsia="pl-PL"/>
        </w:rPr>
        <w:t>Akc</w:t>
      </w:r>
      <w:r w:rsidR="00FC1914" w:rsidRPr="002B6C1F">
        <w:rPr>
          <w:rFonts w:ascii="Calibri" w:hAnsi="Calibri" w:cs="Calibri"/>
          <w:sz w:val="20"/>
          <w:lang w:eastAsia="pl-PL"/>
        </w:rPr>
        <w:t>yza na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 alkohol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e </w:t>
      </w:r>
      <w:r w:rsidR="009A2C14" w:rsidRPr="002B6C1F">
        <w:rPr>
          <w:rFonts w:ascii="Calibri" w:hAnsi="Calibri" w:cs="Calibri"/>
          <w:sz w:val="20"/>
          <w:lang w:eastAsia="pl-PL"/>
        </w:rPr>
        <w:t>spirytusowe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 jest </w:t>
      </w:r>
      <w:r w:rsidR="009A2C14" w:rsidRPr="002B6C1F">
        <w:rPr>
          <w:rFonts w:ascii="Calibri" w:hAnsi="Calibri" w:cs="Calibri"/>
          <w:sz w:val="20"/>
          <w:lang w:eastAsia="pl-PL"/>
        </w:rPr>
        <w:t xml:space="preserve">dziś </w:t>
      </w:r>
      <w:r w:rsidR="00FC1914" w:rsidRPr="002B6C1F">
        <w:rPr>
          <w:rFonts w:ascii="Calibri" w:hAnsi="Calibri" w:cs="Calibri"/>
          <w:sz w:val="20"/>
          <w:lang w:eastAsia="pl-PL"/>
        </w:rPr>
        <w:t>trzy razy wyższa</w:t>
      </w:r>
      <w:r w:rsidR="008D757B" w:rsidRPr="002B6C1F">
        <w:rPr>
          <w:rFonts w:ascii="Calibri" w:hAnsi="Calibri" w:cs="Calibri"/>
          <w:sz w:val="20"/>
          <w:lang w:eastAsia="pl-PL"/>
        </w:rPr>
        <w:t xml:space="preserve"> niż dla piwa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 i na przestrzeni najbliższych kilku lat ma dalej rosnąć </w:t>
      </w:r>
      <w:r w:rsidR="00D466E3" w:rsidRPr="002B6C1F">
        <w:rPr>
          <w:rFonts w:ascii="Calibri" w:hAnsi="Calibri" w:cs="Calibri"/>
          <w:sz w:val="20"/>
          <w:lang w:eastAsia="pl-PL"/>
        </w:rPr>
        <w:t xml:space="preserve">według Akcyzowej Mapy Drogowej. </w:t>
      </w:r>
      <w:r w:rsidR="00677CA2" w:rsidRPr="002B6C1F">
        <w:rPr>
          <w:rFonts w:ascii="Calibri" w:hAnsi="Calibri" w:cs="Calibri"/>
          <w:sz w:val="20"/>
          <w:lang w:eastAsia="pl-PL"/>
        </w:rPr>
        <w:t>B</w:t>
      </w:r>
      <w:r w:rsidR="00D466E3" w:rsidRPr="002B6C1F">
        <w:rPr>
          <w:rFonts w:ascii="Calibri" w:hAnsi="Calibri" w:cs="Calibri"/>
          <w:sz w:val="20"/>
          <w:lang w:eastAsia="pl-PL"/>
        </w:rPr>
        <w:t>ranża s</w:t>
      </w:r>
      <w:r w:rsidR="009A2C14" w:rsidRPr="002B6C1F">
        <w:rPr>
          <w:rFonts w:ascii="Calibri" w:hAnsi="Calibri" w:cs="Calibri"/>
          <w:sz w:val="20"/>
          <w:lang w:eastAsia="pl-PL"/>
        </w:rPr>
        <w:t xml:space="preserve">pirytusowa 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płaci nie tylko </w:t>
      </w:r>
      <w:r w:rsidR="003C132F" w:rsidRPr="002B6C1F">
        <w:rPr>
          <w:rFonts w:ascii="Calibri" w:hAnsi="Calibri" w:cs="Calibri"/>
          <w:sz w:val="20"/>
          <w:lang w:eastAsia="pl-PL"/>
        </w:rPr>
        <w:t>zdecydowanie wyższą akcyzę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, ale ponosi </w:t>
      </w:r>
      <w:r w:rsidR="009A2C14" w:rsidRPr="002B6C1F">
        <w:rPr>
          <w:rFonts w:ascii="Calibri" w:hAnsi="Calibri" w:cs="Calibri"/>
          <w:sz w:val="20"/>
          <w:lang w:eastAsia="pl-PL"/>
        </w:rPr>
        <w:t>również dodatkow</w:t>
      </w:r>
      <w:r w:rsidR="00D466E3" w:rsidRPr="002B6C1F">
        <w:rPr>
          <w:rFonts w:ascii="Calibri" w:hAnsi="Calibri" w:cs="Calibri"/>
          <w:sz w:val="20"/>
          <w:lang w:eastAsia="pl-PL"/>
        </w:rPr>
        <w:t xml:space="preserve">ą opłatę </w:t>
      </w:r>
      <w:r w:rsidR="003C132F" w:rsidRPr="002B6C1F">
        <w:rPr>
          <w:rFonts w:ascii="Calibri" w:hAnsi="Calibri" w:cs="Calibri"/>
          <w:sz w:val="20"/>
        </w:rPr>
        <w:t>od małych pojemności napojów alkoholowych</w:t>
      </w:r>
      <w:r w:rsidR="00BB11C2">
        <w:rPr>
          <w:rFonts w:ascii="Calibri" w:hAnsi="Calibri" w:cs="Calibri"/>
          <w:sz w:val="20"/>
        </w:rPr>
        <w:br/>
      </w:r>
      <w:r w:rsidR="003C132F" w:rsidRPr="002B6C1F">
        <w:rPr>
          <w:rFonts w:ascii="Calibri" w:hAnsi="Calibri" w:cs="Calibri"/>
          <w:sz w:val="20"/>
        </w:rPr>
        <w:t xml:space="preserve"> w opakowaniach do 300 ml, </w:t>
      </w:r>
      <w:r w:rsidR="003E4892" w:rsidRPr="002B6C1F">
        <w:rPr>
          <w:rFonts w:ascii="Calibri" w:hAnsi="Calibri" w:cs="Calibri"/>
          <w:sz w:val="20"/>
        </w:rPr>
        <w:br/>
      </w:r>
      <w:r w:rsidR="003C132F" w:rsidRPr="002B6C1F">
        <w:rPr>
          <w:rFonts w:ascii="Calibri" w:hAnsi="Calibri" w:cs="Calibri"/>
          <w:sz w:val="20"/>
        </w:rPr>
        <w:t>co dodaje dodatkową złotówkę do ceny 100 ml butelki 40</w:t>
      </w:r>
      <w:r w:rsidR="005B2545" w:rsidRPr="002B6C1F">
        <w:rPr>
          <w:rFonts w:ascii="Calibri" w:hAnsi="Calibri" w:cs="Calibri"/>
          <w:sz w:val="20"/>
        </w:rPr>
        <w:t xml:space="preserve"> proc.</w:t>
      </w:r>
      <w:r w:rsidR="003C132F" w:rsidRPr="002B6C1F">
        <w:rPr>
          <w:rFonts w:ascii="Calibri" w:hAnsi="Calibri" w:cs="Calibri"/>
          <w:sz w:val="20"/>
        </w:rPr>
        <w:t xml:space="preserve"> napoju</w:t>
      </w:r>
      <w:r w:rsidR="00D466E3" w:rsidRPr="002B6C1F">
        <w:rPr>
          <w:rStyle w:val="Pogrubienie"/>
          <w:rFonts w:ascii="Calibri" w:eastAsiaTheme="majorEastAsia" w:hAnsi="Calibri" w:cs="Calibri"/>
          <w:b w:val="0"/>
          <w:bCs w:val="0"/>
          <w:sz w:val="20"/>
        </w:rPr>
        <w:t>.</w:t>
      </w:r>
      <w:r w:rsidR="00B50F4F" w:rsidRPr="002B6C1F">
        <w:rPr>
          <w:rStyle w:val="Pogrubienie"/>
          <w:rFonts w:ascii="Calibri" w:eastAsiaTheme="majorEastAsia" w:hAnsi="Calibri" w:cs="Calibri"/>
          <w:b w:val="0"/>
          <w:bCs w:val="0"/>
          <w:sz w:val="20"/>
        </w:rPr>
        <w:t xml:space="preserve"> </w:t>
      </w:r>
      <w:r w:rsidR="00B50F4F" w:rsidRPr="002B6C1F">
        <w:rPr>
          <w:rFonts w:ascii="Calibri" w:hAnsi="Calibri" w:cs="Calibri"/>
          <w:sz w:val="20"/>
        </w:rPr>
        <w:t xml:space="preserve">Zwiększenie tej opłaty mogłoby prowadzić </w:t>
      </w:r>
      <w:r w:rsidR="00BB11C2">
        <w:rPr>
          <w:rFonts w:ascii="Calibri" w:hAnsi="Calibri" w:cs="Calibri"/>
          <w:sz w:val="20"/>
        </w:rPr>
        <w:br/>
      </w:r>
      <w:r w:rsidR="00B50F4F" w:rsidRPr="002B6C1F">
        <w:rPr>
          <w:rFonts w:ascii="Calibri" w:hAnsi="Calibri" w:cs="Calibri"/>
          <w:sz w:val="20"/>
        </w:rPr>
        <w:t>do jeszcze większych dysproporcji na rynku alkoholowym.</w:t>
      </w:r>
      <w:r w:rsidR="00D466E3" w:rsidRPr="002B6C1F">
        <w:rPr>
          <w:rStyle w:val="Pogrubienie"/>
          <w:rFonts w:ascii="Calibri" w:eastAsiaTheme="majorEastAsia" w:hAnsi="Calibri" w:cs="Calibri"/>
          <w:b w:val="0"/>
          <w:bCs w:val="0"/>
          <w:sz w:val="20"/>
        </w:rPr>
        <w:t xml:space="preserve"> </w:t>
      </w:r>
    </w:p>
    <w:p w14:paraId="145D6FAD" w14:textId="197025E8" w:rsidR="00B50F4F" w:rsidRPr="002B6C1F" w:rsidRDefault="00005B68" w:rsidP="008F21C2">
      <w:pPr>
        <w:spacing w:line="276" w:lineRule="auto"/>
        <w:jc w:val="both"/>
        <w:rPr>
          <w:rFonts w:ascii="Calibri" w:hAnsi="Calibri" w:cs="Calibri"/>
          <w:sz w:val="20"/>
        </w:rPr>
      </w:pPr>
      <w:r w:rsidRPr="002B6C1F">
        <w:rPr>
          <w:rFonts w:ascii="Calibri" w:hAnsi="Calibri" w:cs="Calibri"/>
          <w:sz w:val="20"/>
        </w:rPr>
        <w:t>Warto przypomnieć, że podatek akcyzowy na alkohole mocne w Polsce już dzisiaj jest znacznie wyższy niż</w:t>
      </w:r>
      <w:r w:rsidR="00414411" w:rsidRPr="002B6C1F">
        <w:rPr>
          <w:rFonts w:ascii="Calibri" w:hAnsi="Calibri" w:cs="Calibri"/>
          <w:sz w:val="20"/>
        </w:rPr>
        <w:t xml:space="preserve"> </w:t>
      </w:r>
      <w:r w:rsidRPr="002B6C1F">
        <w:rPr>
          <w:rFonts w:ascii="Calibri" w:hAnsi="Calibri" w:cs="Calibri"/>
          <w:sz w:val="20"/>
        </w:rPr>
        <w:t>w sąsiednich krajach, takich jak Niemcy, Czechy czy Słowacja. Natomiast dodatkowy podatek</w:t>
      </w:r>
      <w:r w:rsidR="009C2672" w:rsidRPr="002B6C1F">
        <w:rPr>
          <w:rFonts w:ascii="Calibri" w:hAnsi="Calibri" w:cs="Calibri"/>
          <w:sz w:val="20"/>
        </w:rPr>
        <w:t xml:space="preserve"> </w:t>
      </w:r>
      <w:r w:rsidRPr="002B6C1F">
        <w:rPr>
          <w:rFonts w:ascii="Calibri" w:hAnsi="Calibri" w:cs="Calibri"/>
          <w:sz w:val="20"/>
        </w:rPr>
        <w:t>na alkohole mocne w małych opakowaniach do 300 ml obowiązuje tylko w Polsce.</w:t>
      </w:r>
    </w:p>
    <w:p w14:paraId="52A62B2D" w14:textId="77777777" w:rsidR="008F21C2" w:rsidRPr="002B6C1F" w:rsidRDefault="008F21C2" w:rsidP="008F21C2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4FCE49A2" w14:textId="0A0BF074" w:rsidR="00732BCE" w:rsidRPr="002B6C1F" w:rsidRDefault="00D12AB8" w:rsidP="008F21C2">
      <w:pP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0"/>
          <w:lang w:eastAsia="pl-PL"/>
        </w:rPr>
      </w:pPr>
      <w:r w:rsidRPr="002B6C1F">
        <w:rPr>
          <w:rFonts w:ascii="Calibri" w:hAnsi="Calibri" w:cs="Calibri"/>
          <w:sz w:val="20"/>
        </w:rPr>
        <w:lastRenderedPageBreak/>
        <w:t xml:space="preserve">Coraz wyższe stawki </w:t>
      </w:r>
      <w:r w:rsidR="00005B68" w:rsidRPr="002B6C1F">
        <w:rPr>
          <w:rFonts w:ascii="Calibri" w:hAnsi="Calibri" w:cs="Calibri"/>
          <w:sz w:val="20"/>
        </w:rPr>
        <w:t>akcyzy</w:t>
      </w:r>
      <w:r w:rsidRPr="002B6C1F">
        <w:rPr>
          <w:rFonts w:ascii="Calibri" w:hAnsi="Calibri" w:cs="Calibri"/>
          <w:sz w:val="20"/>
        </w:rPr>
        <w:t xml:space="preserve"> dla branży spirytusowej</w:t>
      </w:r>
      <w:r w:rsidR="00C659DC" w:rsidRPr="002B6C1F">
        <w:rPr>
          <w:rFonts w:ascii="Calibri" w:hAnsi="Calibri" w:cs="Calibri"/>
          <w:sz w:val="20"/>
        </w:rPr>
        <w:t>, a także permanentnie rosnące koszty produkcji</w:t>
      </w:r>
      <w:r w:rsidRPr="002B6C1F">
        <w:rPr>
          <w:rFonts w:ascii="Calibri" w:hAnsi="Calibri" w:cs="Calibri"/>
          <w:sz w:val="20"/>
        </w:rPr>
        <w:t xml:space="preserve"> przekładają się na coraz wyższe ceny legalne</w:t>
      </w:r>
      <w:r w:rsidR="00C21F10" w:rsidRPr="002B6C1F">
        <w:rPr>
          <w:rFonts w:ascii="Calibri" w:hAnsi="Calibri" w:cs="Calibri"/>
          <w:sz w:val="20"/>
        </w:rPr>
        <w:t>go</w:t>
      </w:r>
      <w:r w:rsidRPr="002B6C1F">
        <w:rPr>
          <w:rFonts w:ascii="Calibri" w:hAnsi="Calibri" w:cs="Calibri"/>
          <w:sz w:val="20"/>
        </w:rPr>
        <w:t xml:space="preserve"> </w:t>
      </w:r>
      <w:r w:rsidR="00C21F10" w:rsidRPr="002B6C1F">
        <w:rPr>
          <w:rFonts w:ascii="Calibri" w:hAnsi="Calibri" w:cs="Calibri"/>
          <w:sz w:val="20"/>
        </w:rPr>
        <w:t>alkoholu</w:t>
      </w:r>
      <w:r w:rsidRPr="002B6C1F">
        <w:rPr>
          <w:rFonts w:ascii="Calibri" w:hAnsi="Calibri" w:cs="Calibri"/>
          <w:sz w:val="20"/>
        </w:rPr>
        <w:t xml:space="preserve">, sprawiając, </w:t>
      </w:r>
      <w:r w:rsidR="00EC6FE4" w:rsidRPr="002B6C1F">
        <w:rPr>
          <w:rFonts w:ascii="Calibri" w:hAnsi="Calibri" w:cs="Calibri"/>
          <w:sz w:val="20"/>
        </w:rPr>
        <w:t>że</w:t>
      </w:r>
      <w:r w:rsidRPr="002B6C1F">
        <w:rPr>
          <w:rFonts w:ascii="Calibri" w:hAnsi="Calibri" w:cs="Calibri"/>
          <w:sz w:val="20"/>
        </w:rPr>
        <w:t xml:space="preserve"> staje się on coraz mniej dostępn</w:t>
      </w:r>
      <w:r w:rsidR="00C21F10" w:rsidRPr="002B6C1F">
        <w:rPr>
          <w:rFonts w:ascii="Calibri" w:hAnsi="Calibri" w:cs="Calibri"/>
          <w:sz w:val="20"/>
        </w:rPr>
        <w:t>y</w:t>
      </w:r>
      <w:r w:rsidRPr="002B6C1F">
        <w:rPr>
          <w:rFonts w:ascii="Calibri" w:hAnsi="Calibri" w:cs="Calibri"/>
          <w:sz w:val="20"/>
        </w:rPr>
        <w:t xml:space="preserve"> dla konsumentów. </w:t>
      </w:r>
      <w:r w:rsidR="00EC6FE4" w:rsidRPr="002B6C1F">
        <w:rPr>
          <w:rFonts w:ascii="Calibri" w:hAnsi="Calibri" w:cs="Calibri"/>
          <w:sz w:val="20"/>
        </w:rPr>
        <w:t xml:space="preserve">Branża już odnotowuje spadki sprzedaży wynikające z powyższego. </w:t>
      </w:r>
      <w:r w:rsidR="008B1995" w:rsidRPr="002B6C1F">
        <w:rPr>
          <w:rFonts w:ascii="Calibri" w:hAnsi="Calibri" w:cs="Calibri"/>
          <w:sz w:val="20"/>
        </w:rPr>
        <w:br/>
      </w:r>
      <w:r w:rsidR="00FC1914" w:rsidRPr="002B6C1F">
        <w:rPr>
          <w:rFonts w:ascii="Calibri" w:hAnsi="Calibri" w:cs="Calibri"/>
          <w:sz w:val="20"/>
          <w:lang w:eastAsia="pl-PL"/>
        </w:rPr>
        <w:t>Od wprowadzenia Akcyzowej Mapy Drogowej, czyli corocznej podwyżki akcyzy, branża spirytusowa odnotowuje spadki na rynku: 8</w:t>
      </w:r>
      <w:r w:rsidR="008B1995" w:rsidRPr="002B6C1F">
        <w:rPr>
          <w:rFonts w:ascii="Calibri" w:hAnsi="Calibri" w:cs="Calibri"/>
          <w:sz w:val="20"/>
          <w:lang w:eastAsia="pl-PL"/>
        </w:rPr>
        <w:t xml:space="preserve"> proc.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 w 2022 roku, 10</w:t>
      </w:r>
      <w:r w:rsidR="008B1995" w:rsidRPr="002B6C1F">
        <w:rPr>
          <w:rFonts w:ascii="Calibri" w:hAnsi="Calibri" w:cs="Calibri"/>
          <w:sz w:val="20"/>
          <w:lang w:eastAsia="pl-PL"/>
        </w:rPr>
        <w:t xml:space="preserve"> proc.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 w 2023 roku i kolejne 10</w:t>
      </w:r>
      <w:r w:rsidR="008B1995" w:rsidRPr="002B6C1F">
        <w:rPr>
          <w:rFonts w:ascii="Calibri" w:hAnsi="Calibri" w:cs="Calibri"/>
          <w:sz w:val="20"/>
          <w:lang w:eastAsia="pl-PL"/>
        </w:rPr>
        <w:t xml:space="preserve"> proc.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 w pierwszym kwartale 2024 roku</w:t>
      </w:r>
      <w:r w:rsidR="004B107A" w:rsidRPr="002B6C1F">
        <w:rPr>
          <w:rFonts w:ascii="Calibri" w:hAnsi="Calibri" w:cs="Calibri"/>
          <w:sz w:val="20"/>
          <w:vertAlign w:val="superscript"/>
          <w:lang w:eastAsia="pl-PL"/>
        </w:rPr>
        <w:t>2</w:t>
      </w:r>
      <w:r w:rsidR="007001C0" w:rsidRPr="002B6C1F">
        <w:rPr>
          <w:rFonts w:ascii="Calibri" w:hAnsi="Calibri" w:cs="Calibri"/>
          <w:sz w:val="20"/>
          <w:lang w:eastAsia="pl-PL"/>
        </w:rPr>
        <w:t>.</w:t>
      </w:r>
      <w:r w:rsidR="0091095A" w:rsidRPr="002B6C1F">
        <w:rPr>
          <w:rStyle w:val="Odwoanieprzypisudolnego"/>
          <w:rFonts w:ascii="Calibri" w:hAnsi="Calibri" w:cs="Calibri"/>
          <w:sz w:val="20"/>
          <w:lang w:eastAsia="pl-PL"/>
        </w:rPr>
        <w:t xml:space="preserve"> 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Spada sprzedaż </w:t>
      </w:r>
      <w:r w:rsidR="00D466E3" w:rsidRPr="002B6C1F">
        <w:rPr>
          <w:rFonts w:ascii="Calibri" w:hAnsi="Calibri" w:cs="Calibri"/>
          <w:sz w:val="20"/>
          <w:lang w:eastAsia="pl-PL"/>
        </w:rPr>
        <w:t xml:space="preserve">legalnych 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alkoholi mocnych we wszystkich pojemnościach, </w:t>
      </w:r>
      <w:r w:rsidR="008B1995" w:rsidRPr="002B6C1F">
        <w:rPr>
          <w:rFonts w:ascii="Calibri" w:hAnsi="Calibri" w:cs="Calibri"/>
          <w:sz w:val="20"/>
          <w:lang w:eastAsia="pl-PL"/>
        </w:rPr>
        <w:br/>
      </w:r>
      <w:r w:rsidR="00FC1914" w:rsidRPr="002B6C1F">
        <w:rPr>
          <w:rFonts w:ascii="Calibri" w:hAnsi="Calibri" w:cs="Calibri"/>
          <w:sz w:val="20"/>
          <w:lang w:eastAsia="pl-PL"/>
        </w:rPr>
        <w:t>a część zakupów przeniosła się do szarej strefy ze względu na wysokie ceny napojów spirytusowych. Według raportu „Szara strefa 2024” Instytutu Prognoz i Analiz Gospodarczych wartość nielegalnej sprzedaży wysokoprocentowych alkoholi</w:t>
      </w:r>
      <w:r w:rsidR="00BB11C2">
        <w:rPr>
          <w:rFonts w:ascii="Calibri" w:hAnsi="Calibri" w:cs="Calibri"/>
          <w:sz w:val="20"/>
          <w:lang w:eastAsia="pl-PL"/>
        </w:rPr>
        <w:br/>
      </w:r>
      <w:r w:rsidR="00FC1914" w:rsidRPr="002B6C1F">
        <w:rPr>
          <w:rFonts w:ascii="Calibri" w:hAnsi="Calibri" w:cs="Calibri"/>
          <w:sz w:val="20"/>
          <w:lang w:eastAsia="pl-PL"/>
        </w:rPr>
        <w:t xml:space="preserve">w 2023 roku generowała ok. 1,3 mld zł strat dla budżetu państwa z tytułu nieodprowadzonych podatków. Prognozy na 2024 rok wskazują na możliwość dalszego </w:t>
      </w:r>
      <w:r w:rsidR="00C21F10" w:rsidRPr="002B6C1F">
        <w:rPr>
          <w:rFonts w:ascii="Calibri" w:hAnsi="Calibri" w:cs="Calibri"/>
          <w:sz w:val="20"/>
          <w:lang w:eastAsia="pl-PL"/>
        </w:rPr>
        <w:t xml:space="preserve">zwiększenia </w:t>
      </w:r>
      <w:r w:rsidR="00D466E3" w:rsidRPr="002B6C1F">
        <w:rPr>
          <w:rFonts w:ascii="Calibri" w:hAnsi="Calibri" w:cs="Calibri"/>
          <w:sz w:val="20"/>
          <w:lang w:eastAsia="pl-PL"/>
        </w:rPr>
        <w:t>strat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 mogący</w:t>
      </w:r>
      <w:r w:rsidR="00D466E3" w:rsidRPr="002B6C1F">
        <w:rPr>
          <w:rFonts w:ascii="Calibri" w:hAnsi="Calibri" w:cs="Calibri"/>
          <w:sz w:val="20"/>
          <w:lang w:eastAsia="pl-PL"/>
        </w:rPr>
        <w:t>ch</w:t>
      </w:r>
      <w:r w:rsidR="00FC1914" w:rsidRPr="002B6C1F">
        <w:rPr>
          <w:rFonts w:ascii="Calibri" w:hAnsi="Calibri" w:cs="Calibri"/>
          <w:sz w:val="20"/>
          <w:lang w:eastAsia="pl-PL"/>
        </w:rPr>
        <w:t xml:space="preserve"> sięgnąć około 1 miliarda złotych.</w:t>
      </w:r>
      <w:r w:rsidR="00F94F91" w:rsidRPr="002B6C1F">
        <w:rPr>
          <w:rFonts w:ascii="Calibri" w:hAnsi="Calibri" w:cs="Calibri"/>
          <w:sz w:val="20"/>
          <w:lang w:eastAsia="pl-PL"/>
        </w:rPr>
        <w:t xml:space="preserve"> </w:t>
      </w:r>
      <w:r w:rsidR="00EC6FE4" w:rsidRPr="002B6C1F">
        <w:rPr>
          <w:rFonts w:ascii="Calibri" w:hAnsi="Calibri" w:cs="Calibri"/>
          <w:sz w:val="20"/>
        </w:rPr>
        <w:t>O</w:t>
      </w:r>
      <w:r w:rsidR="00732BCE" w:rsidRPr="002B6C1F">
        <w:rPr>
          <w:rFonts w:ascii="Calibri" w:hAnsi="Calibri" w:cs="Calibri"/>
          <w:sz w:val="20"/>
        </w:rPr>
        <w:t xml:space="preserve">znacza </w:t>
      </w:r>
      <w:r w:rsidR="00EC6FE4" w:rsidRPr="002B6C1F">
        <w:rPr>
          <w:rFonts w:ascii="Calibri" w:hAnsi="Calibri" w:cs="Calibri"/>
          <w:sz w:val="20"/>
        </w:rPr>
        <w:t>to również mniejsze wpływy do</w:t>
      </w:r>
      <w:r w:rsidR="00732BCE" w:rsidRPr="002B6C1F">
        <w:rPr>
          <w:rFonts w:ascii="Calibri" w:hAnsi="Calibri" w:cs="Calibri"/>
          <w:sz w:val="20"/>
        </w:rPr>
        <w:t xml:space="preserve"> gmin i NFZ</w:t>
      </w:r>
      <w:r w:rsidR="0091095A" w:rsidRPr="002B6C1F">
        <w:rPr>
          <w:rFonts w:ascii="Calibri" w:hAnsi="Calibri" w:cs="Calibri"/>
          <w:sz w:val="20"/>
        </w:rPr>
        <w:t xml:space="preserve"> (50</w:t>
      </w:r>
      <w:r w:rsidR="008B1995" w:rsidRPr="002B6C1F">
        <w:rPr>
          <w:rFonts w:ascii="Calibri" w:hAnsi="Calibri" w:cs="Calibri"/>
          <w:sz w:val="20"/>
        </w:rPr>
        <w:t xml:space="preserve"> proc.</w:t>
      </w:r>
      <w:r w:rsidR="0091095A" w:rsidRPr="002B6C1F">
        <w:rPr>
          <w:rFonts w:ascii="Calibri" w:hAnsi="Calibri" w:cs="Calibri"/>
          <w:sz w:val="20"/>
        </w:rPr>
        <w:t xml:space="preserve"> opłaty od małych formatów wpływa do budżetu gmin i 50</w:t>
      </w:r>
      <w:r w:rsidR="008B1995" w:rsidRPr="002B6C1F">
        <w:rPr>
          <w:rFonts w:ascii="Calibri" w:hAnsi="Calibri" w:cs="Calibri"/>
          <w:sz w:val="20"/>
        </w:rPr>
        <w:t xml:space="preserve"> proc.</w:t>
      </w:r>
      <w:r w:rsidR="0091095A" w:rsidRPr="002B6C1F">
        <w:rPr>
          <w:rFonts w:ascii="Calibri" w:hAnsi="Calibri" w:cs="Calibri"/>
          <w:sz w:val="20"/>
        </w:rPr>
        <w:t xml:space="preserve"> </w:t>
      </w:r>
      <w:r w:rsidR="008B1995" w:rsidRPr="002B6C1F">
        <w:rPr>
          <w:rFonts w:ascii="Calibri" w:hAnsi="Calibri" w:cs="Calibri"/>
          <w:sz w:val="20"/>
        </w:rPr>
        <w:br/>
      </w:r>
      <w:r w:rsidR="0091095A" w:rsidRPr="002B6C1F">
        <w:rPr>
          <w:rFonts w:ascii="Calibri" w:hAnsi="Calibri" w:cs="Calibri"/>
          <w:sz w:val="20"/>
        </w:rPr>
        <w:t>do NFZ)</w:t>
      </w:r>
      <w:r w:rsidR="00EC6FE4" w:rsidRPr="002B6C1F">
        <w:rPr>
          <w:rFonts w:ascii="Calibri" w:hAnsi="Calibri" w:cs="Calibri"/>
          <w:sz w:val="20"/>
        </w:rPr>
        <w:t xml:space="preserve"> i nie </w:t>
      </w:r>
      <w:r w:rsidR="008E0D4A" w:rsidRPr="002B6C1F">
        <w:rPr>
          <w:rFonts w:ascii="Calibri" w:hAnsi="Calibri" w:cs="Calibri"/>
          <w:sz w:val="20"/>
        </w:rPr>
        <w:t>sprawi</w:t>
      </w:r>
      <w:r w:rsidR="00EC6FE4" w:rsidRPr="002B6C1F">
        <w:rPr>
          <w:rFonts w:ascii="Calibri" w:hAnsi="Calibri" w:cs="Calibri"/>
          <w:sz w:val="20"/>
        </w:rPr>
        <w:t xml:space="preserve"> w najmniejszym stopniu, że konsumenci przestaną sięgać po alkohol. Będą </w:t>
      </w:r>
      <w:r w:rsidR="003E4892" w:rsidRPr="002B6C1F">
        <w:rPr>
          <w:rFonts w:ascii="Calibri" w:hAnsi="Calibri" w:cs="Calibri"/>
          <w:sz w:val="20"/>
        </w:rPr>
        <w:br/>
      </w:r>
      <w:r w:rsidR="00EC6FE4" w:rsidRPr="002B6C1F">
        <w:rPr>
          <w:rFonts w:ascii="Calibri" w:hAnsi="Calibri" w:cs="Calibri"/>
          <w:sz w:val="20"/>
        </w:rPr>
        <w:t>go szukać w nielegalnych lub bardziej dostępnych pod względem ceny produktach na rynku.</w:t>
      </w:r>
    </w:p>
    <w:p w14:paraId="385E914D" w14:textId="0E984187" w:rsidR="008D757B" w:rsidRPr="002B6C1F" w:rsidRDefault="00732BCE" w:rsidP="00D12AB8">
      <w:p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  <w:lang w:eastAsia="pl-PL"/>
        </w:rPr>
      </w:pPr>
      <w:r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Jeśli państwo chce aktywnie realizować politykę zmniejszania konsumpcji alkoholu, jako używki negatywnie wpływającej na stan zdrowia publicznego, to właściwa ku temu droga prowadzi </w:t>
      </w:r>
      <w:r w:rsidR="003E4892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br/>
      </w:r>
      <w:r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nie poprzez </w:t>
      </w:r>
      <w:r w:rsidR="00EC6FE4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>podnoszenie</w:t>
      </w:r>
      <w:r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 ceny </w:t>
      </w:r>
      <w:r w:rsidR="00EF08C2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już </w:t>
      </w:r>
      <w:r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>najdroższego alkoholu</w:t>
      </w:r>
      <w:r w:rsidR="00EC6FE4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, czyli </w:t>
      </w:r>
      <w:r w:rsidR="00C21F10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>tego sprzedawanego w</w:t>
      </w:r>
      <w:r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 małych opakowaniach</w:t>
      </w:r>
      <w:r w:rsidR="00EC6FE4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>,</w:t>
      </w:r>
      <w:r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 ale zmianę podejścia do akcyzowego uprzywilejowania najtańszego i najbardziej dostępnego alkoholu, czyli piwa</w:t>
      </w:r>
      <w:r w:rsidR="00EF08C2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. </w:t>
      </w:r>
      <w:r w:rsidR="00EC6FE4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To </w:t>
      </w:r>
      <w:r w:rsidR="00EC6FE4" w:rsidRPr="002B6C1F">
        <w:rPr>
          <w:rFonts w:ascii="Calibri" w:hAnsi="Calibri" w:cs="Calibri"/>
          <w:i/>
          <w:iCs/>
          <w:sz w:val="20"/>
          <w:lang w:eastAsia="pl-PL"/>
        </w:rPr>
        <w:t xml:space="preserve">wyroby spirytusowe, generują 72 proc. wpływów z akcyzy </w:t>
      </w:r>
      <w:r w:rsidR="003E4892" w:rsidRPr="002B6C1F">
        <w:rPr>
          <w:rFonts w:ascii="Calibri" w:hAnsi="Calibri" w:cs="Calibri"/>
          <w:i/>
          <w:iCs/>
          <w:sz w:val="20"/>
          <w:lang w:eastAsia="pl-PL"/>
        </w:rPr>
        <w:br/>
      </w:r>
      <w:r w:rsidR="00EC6FE4" w:rsidRPr="002B6C1F">
        <w:rPr>
          <w:rFonts w:ascii="Calibri" w:hAnsi="Calibri" w:cs="Calibri"/>
          <w:i/>
          <w:iCs/>
          <w:sz w:val="20"/>
          <w:lang w:eastAsia="pl-PL"/>
        </w:rPr>
        <w:t xml:space="preserve">od alkoholu, podczas gdy piwo – 25 proc. </w:t>
      </w:r>
      <w:r w:rsidR="00EC6FE4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 xml:space="preserve">W tej dyskusji zapominamy o tym, </w:t>
      </w:r>
      <w:r w:rsidR="00D12AB8" w:rsidRPr="002B6C1F">
        <w:rPr>
          <w:rFonts w:ascii="Calibri" w:eastAsiaTheme="minorHAnsi" w:hAnsi="Calibri" w:cs="Calibri"/>
          <w:i/>
          <w:iCs/>
          <w:sz w:val="20"/>
          <w:lang w:eastAsia="en-US"/>
          <w14:ligatures w14:val="standardContextual"/>
        </w:rPr>
        <w:t>że p</w:t>
      </w:r>
      <w:r w:rsidR="00EF08C2" w:rsidRPr="002B6C1F">
        <w:rPr>
          <w:rFonts w:ascii="Calibri" w:hAnsi="Calibri" w:cs="Calibri"/>
          <w:i/>
          <w:iCs/>
          <w:sz w:val="20"/>
          <w:lang w:eastAsia="pl-PL"/>
        </w:rPr>
        <w:t xml:space="preserve">iwo, wódka, wino </w:t>
      </w:r>
      <w:r w:rsidR="003E4892" w:rsidRPr="002B6C1F">
        <w:rPr>
          <w:rFonts w:ascii="Calibri" w:hAnsi="Calibri" w:cs="Calibri"/>
          <w:i/>
          <w:iCs/>
          <w:sz w:val="20"/>
          <w:lang w:eastAsia="pl-PL"/>
        </w:rPr>
        <w:br/>
      </w:r>
      <w:r w:rsidR="00EC6FE4" w:rsidRPr="002B6C1F">
        <w:rPr>
          <w:rFonts w:ascii="Calibri" w:hAnsi="Calibri" w:cs="Calibri"/>
          <w:i/>
          <w:iCs/>
          <w:sz w:val="20"/>
          <w:lang w:eastAsia="pl-PL"/>
        </w:rPr>
        <w:t>i</w:t>
      </w:r>
      <w:r w:rsidR="00EF08C2" w:rsidRPr="002B6C1F">
        <w:rPr>
          <w:rFonts w:ascii="Calibri" w:hAnsi="Calibri" w:cs="Calibri"/>
          <w:i/>
          <w:iCs/>
          <w:sz w:val="20"/>
          <w:lang w:eastAsia="pl-PL"/>
        </w:rPr>
        <w:t xml:space="preserve"> whisky zawierają </w:t>
      </w:r>
      <w:r w:rsidR="00EC6FE4" w:rsidRPr="002B6C1F">
        <w:rPr>
          <w:rFonts w:ascii="Calibri" w:hAnsi="Calibri" w:cs="Calibri"/>
          <w:i/>
          <w:iCs/>
          <w:sz w:val="20"/>
          <w:lang w:eastAsia="pl-PL"/>
        </w:rPr>
        <w:t>dokładnie taki</w:t>
      </w:r>
      <w:r w:rsidR="00EF08C2" w:rsidRPr="002B6C1F">
        <w:rPr>
          <w:rFonts w:ascii="Calibri" w:hAnsi="Calibri" w:cs="Calibri"/>
          <w:i/>
          <w:iCs/>
          <w:sz w:val="20"/>
          <w:lang w:eastAsia="pl-PL"/>
        </w:rPr>
        <w:t xml:space="preserve"> sam alkohol etylowy</w:t>
      </w:r>
      <w:r w:rsidR="00D12AB8" w:rsidRPr="002B6C1F">
        <w:rPr>
          <w:rFonts w:ascii="Calibri" w:hAnsi="Calibri" w:cs="Calibri"/>
          <w:i/>
          <w:iCs/>
          <w:sz w:val="20"/>
          <w:lang w:eastAsia="pl-PL"/>
        </w:rPr>
        <w:t xml:space="preserve"> i </w:t>
      </w:r>
      <w:r w:rsidR="00EC6FE4" w:rsidRPr="002B6C1F">
        <w:rPr>
          <w:rFonts w:ascii="Calibri" w:hAnsi="Calibri" w:cs="Calibri"/>
          <w:i/>
          <w:iCs/>
          <w:sz w:val="20"/>
          <w:lang w:eastAsia="pl-PL"/>
        </w:rPr>
        <w:t xml:space="preserve">to </w:t>
      </w:r>
      <w:r w:rsidR="00D12AB8" w:rsidRPr="002B6C1F">
        <w:rPr>
          <w:rFonts w:ascii="Calibri" w:hAnsi="Calibri" w:cs="Calibri"/>
          <w:i/>
          <w:iCs/>
          <w:sz w:val="20"/>
          <w:lang w:eastAsia="pl-PL"/>
        </w:rPr>
        <w:t>jego zawartość powinna być podstawą opodatkowania akcyzą dla całej branż</w:t>
      </w:r>
      <w:r w:rsidR="00EC6FE4" w:rsidRPr="002B6C1F">
        <w:rPr>
          <w:rFonts w:ascii="Calibri" w:hAnsi="Calibri" w:cs="Calibri"/>
          <w:i/>
          <w:iCs/>
          <w:sz w:val="20"/>
          <w:lang w:eastAsia="pl-PL"/>
        </w:rPr>
        <w:t>y</w:t>
      </w:r>
      <w:r w:rsidR="007001C0" w:rsidRPr="002B6C1F">
        <w:rPr>
          <w:rFonts w:ascii="Calibri" w:hAnsi="Calibri" w:cs="Calibri"/>
          <w:sz w:val="20"/>
          <w:lang w:eastAsia="pl-PL"/>
        </w:rPr>
        <w:t xml:space="preserve"> </w:t>
      </w:r>
      <w:r w:rsidR="00D12AB8" w:rsidRPr="002B6C1F">
        <w:rPr>
          <w:rFonts w:ascii="Calibri" w:hAnsi="Calibri" w:cs="Calibri"/>
          <w:sz w:val="20"/>
          <w:lang w:eastAsia="pl-PL"/>
        </w:rPr>
        <w:t xml:space="preserve">– mówi Emilia Rabenda, prezes Związku Pracodawców Polskiego Przemysłu Spirytusowego. </w:t>
      </w:r>
    </w:p>
    <w:p w14:paraId="7A37BBA2" w14:textId="3F5334AE" w:rsidR="004B107A" w:rsidRPr="002B6C1F" w:rsidRDefault="00C659DC" w:rsidP="00FC1914">
      <w:pPr>
        <w:spacing w:line="276" w:lineRule="auto"/>
        <w:jc w:val="both"/>
        <w:rPr>
          <w:rFonts w:ascii="Calibri" w:hAnsi="Calibri" w:cs="Calibri"/>
          <w:sz w:val="20"/>
        </w:rPr>
      </w:pPr>
      <w:r w:rsidRPr="002B6C1F">
        <w:rPr>
          <w:rFonts w:ascii="Calibri" w:hAnsi="Calibri" w:cs="Calibri"/>
          <w:sz w:val="20"/>
        </w:rPr>
        <w:t xml:space="preserve">Jednakowe traktowanie wszystkich kategorii alkoholowych, to zapewnienie równego dostępu </w:t>
      </w:r>
      <w:r w:rsidR="003E4892" w:rsidRPr="002B6C1F">
        <w:rPr>
          <w:rFonts w:ascii="Calibri" w:hAnsi="Calibri" w:cs="Calibri"/>
          <w:sz w:val="20"/>
        </w:rPr>
        <w:br/>
      </w:r>
      <w:r w:rsidRPr="002B6C1F">
        <w:rPr>
          <w:rFonts w:ascii="Calibri" w:hAnsi="Calibri" w:cs="Calibri"/>
          <w:sz w:val="20"/>
        </w:rPr>
        <w:t xml:space="preserve">do rynku. </w:t>
      </w:r>
    </w:p>
    <w:p w14:paraId="26A7B354" w14:textId="77777777" w:rsidR="004B107A" w:rsidRPr="002B6C1F" w:rsidRDefault="004B107A" w:rsidP="00FC1914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70772038" w14:textId="1238847D" w:rsidR="004B107A" w:rsidRPr="002B6C1F" w:rsidRDefault="004B107A" w:rsidP="004B107A">
      <w:pPr>
        <w:pStyle w:val="Akapitzlist"/>
        <w:numPr>
          <w:ilvl w:val="0"/>
          <w:numId w:val="4"/>
        </w:num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  <w:vertAlign w:val="superscript"/>
        </w:rPr>
      </w:pPr>
      <w:r w:rsidRPr="002B6C1F">
        <w:rPr>
          <w:rFonts w:ascii="Calibri" w:hAnsi="Calibri" w:cs="Calibri"/>
          <w:sz w:val="20"/>
        </w:rPr>
        <w:t xml:space="preserve">Rozkład godzinowy </w:t>
      </w:r>
      <w:r w:rsidR="00070934" w:rsidRPr="002B6C1F">
        <w:rPr>
          <w:rFonts w:ascii="Calibri" w:hAnsi="Calibri" w:cs="Calibri"/>
          <w:sz w:val="20"/>
        </w:rPr>
        <w:t>liczby</w:t>
      </w:r>
      <w:r w:rsidRPr="002B6C1F">
        <w:rPr>
          <w:rFonts w:ascii="Calibri" w:hAnsi="Calibri" w:cs="Calibri"/>
          <w:sz w:val="20"/>
        </w:rPr>
        <w:t xml:space="preserve"> sprzedanych opakowań wódki i piwa w sklepach małoformatowych na podstawie danych Centrum Monitorowania Rynku (panel sklepów małoformatowych do 300m2) YTD 06’24</w:t>
      </w:r>
    </w:p>
    <w:p w14:paraId="275741F4" w14:textId="2812284E" w:rsidR="004B107A" w:rsidRPr="002743DD" w:rsidRDefault="004B107A" w:rsidP="00FC1914">
      <w:pPr>
        <w:pStyle w:val="Akapitzlist"/>
        <w:numPr>
          <w:ilvl w:val="0"/>
          <w:numId w:val="4"/>
        </w:num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  <w:vertAlign w:val="superscript"/>
        </w:rPr>
      </w:pPr>
      <w:r w:rsidRPr="002B6C1F">
        <w:rPr>
          <w:rFonts w:ascii="Calibri" w:hAnsi="Calibri" w:cs="Calibri"/>
          <w:sz w:val="20"/>
        </w:rPr>
        <w:t>Dane GUS</w:t>
      </w:r>
    </w:p>
    <w:p w14:paraId="0DBB1FB5" w14:textId="77777777" w:rsidR="002743DD" w:rsidRDefault="002743DD" w:rsidP="002743DD">
      <w:pPr>
        <w:pStyle w:val="NormalnyWeb"/>
      </w:pPr>
      <w:r>
        <w:rPr>
          <w:noProof/>
        </w:rPr>
        <w:lastRenderedPageBreak/>
        <w:drawing>
          <wp:inline distT="0" distB="0" distL="0" distR="0" wp14:anchorId="5EBC2417" wp14:editId="681D2473">
            <wp:extent cx="4476327" cy="3357245"/>
            <wp:effectExtent l="0" t="0" r="635" b="0"/>
            <wp:docPr id="2" name="Obraz 1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zrzut ekranu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3" cy="335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76F2" w14:textId="77777777" w:rsidR="00C2205B" w:rsidRDefault="00C2205B" w:rsidP="00C2205B">
      <w:pPr>
        <w:pStyle w:val="NormalnyWeb"/>
      </w:pPr>
      <w:r>
        <w:rPr>
          <w:noProof/>
        </w:rPr>
        <w:drawing>
          <wp:inline distT="0" distB="0" distL="0" distR="0" wp14:anchorId="626A0232" wp14:editId="1C296F20">
            <wp:extent cx="4487332" cy="3365500"/>
            <wp:effectExtent l="0" t="0" r="8890" b="6350"/>
            <wp:docPr id="4" name="Obraz 3" descr="Obraz zawierający tekst, zrzut ekranu, diagram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tekst, zrzut ekranu, diagram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95" cy="33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425E" w14:textId="77777777" w:rsidR="002743DD" w:rsidRPr="002743DD" w:rsidRDefault="002743DD" w:rsidP="002743DD">
      <w:pPr>
        <w:suppressAutoHyphens w:val="0"/>
        <w:overflowPunct/>
        <w:autoSpaceDE/>
        <w:spacing w:before="100" w:beforeAutospacing="1" w:after="100" w:afterAutospacing="1" w:line="276" w:lineRule="auto"/>
        <w:jc w:val="both"/>
        <w:rPr>
          <w:rFonts w:ascii="Calibri" w:hAnsi="Calibri" w:cs="Calibri"/>
          <w:sz w:val="20"/>
          <w:vertAlign w:val="superscript"/>
        </w:rPr>
      </w:pPr>
    </w:p>
    <w:sectPr w:rsidR="002743DD" w:rsidRPr="002743DD" w:rsidSect="00C913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D268" w14:textId="77777777" w:rsidR="007E6F70" w:rsidRDefault="007E6F70" w:rsidP="000C76A7">
      <w:r>
        <w:separator/>
      </w:r>
    </w:p>
  </w:endnote>
  <w:endnote w:type="continuationSeparator" w:id="0">
    <w:p w14:paraId="629CCDE7" w14:textId="77777777" w:rsidR="007E6F70" w:rsidRDefault="007E6F70" w:rsidP="000C76A7">
      <w:r>
        <w:continuationSeparator/>
      </w:r>
    </w:p>
  </w:endnote>
  <w:endnote w:type="continuationNotice" w:id="1">
    <w:p w14:paraId="2ECC6302" w14:textId="77777777" w:rsidR="007E6F70" w:rsidRDefault="007E6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A962" w14:textId="77777777" w:rsidR="00F20F27" w:rsidRDefault="00F20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ABBF" w14:textId="77777777" w:rsidR="00F20F27" w:rsidRDefault="00F20F27" w:rsidP="00C60625"/>
  <w:p w14:paraId="276E996D" w14:textId="77777777" w:rsidR="00F20F27" w:rsidRPr="00BF6C6E" w:rsidRDefault="006353D9" w:rsidP="00C60625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14:paraId="5900B8AC" w14:textId="77777777" w:rsidR="00F20F27" w:rsidRPr="00D51020" w:rsidRDefault="006353D9" w:rsidP="00C60625">
    <w:pPr>
      <w:rPr>
        <w:rFonts w:cs="Arial"/>
        <w:noProof/>
        <w:sz w:val="18"/>
        <w:szCs w:val="18"/>
        <w:lang w:eastAsia="pl-PL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  <w:r w:rsidRPr="00D51020">
      <w:rPr>
        <w:rFonts w:cs="Arial"/>
        <w:noProof/>
        <w:sz w:val="18"/>
        <w:szCs w:val="18"/>
        <w:lang w:eastAsia="pl-PL"/>
      </w:rPr>
      <w:t>Kontakt dla mediów:</w:t>
    </w:r>
  </w:p>
  <w:p w14:paraId="0BB982AB" w14:textId="77777777" w:rsidR="00F20F27" w:rsidRPr="000E3BA7" w:rsidRDefault="006353D9" w:rsidP="00C60625">
    <w:pPr>
      <w:rPr>
        <w:rFonts w:cs="Arial"/>
        <w:noProof/>
        <w:sz w:val="18"/>
        <w:szCs w:val="18"/>
        <w:lang w:eastAsia="pl-PL"/>
      </w:rPr>
    </w:pPr>
    <w:r>
      <w:rPr>
        <w:rFonts w:cs="Arial"/>
        <w:noProof/>
        <w:sz w:val="18"/>
        <w:szCs w:val="18"/>
        <w:lang w:eastAsia="pl-PL"/>
      </w:rPr>
      <w:t>Aneta Wasilewska</w:t>
    </w:r>
  </w:p>
  <w:p w14:paraId="66D687FA" w14:textId="77777777" w:rsidR="00F20F27" w:rsidRPr="000E3BA7" w:rsidRDefault="006353D9" w:rsidP="00C60625">
    <w:pPr>
      <w:rPr>
        <w:rFonts w:cs="Arial"/>
        <w:noProof/>
        <w:sz w:val="18"/>
        <w:szCs w:val="18"/>
        <w:lang w:eastAsia="pl-PL"/>
      </w:rPr>
    </w:pPr>
    <w:r>
      <w:rPr>
        <w:rFonts w:cs="Arial"/>
        <w:noProof/>
        <w:sz w:val="18"/>
        <w:szCs w:val="18"/>
        <w:lang w:eastAsia="pl-PL"/>
      </w:rPr>
      <w:t>a.wasilewska</w:t>
    </w:r>
    <w:r w:rsidRPr="000E3BA7">
      <w:rPr>
        <w:rFonts w:cs="Arial"/>
        <w:noProof/>
        <w:sz w:val="18"/>
        <w:szCs w:val="18"/>
        <w:lang w:eastAsia="pl-PL"/>
      </w:rPr>
      <w:t>@zppps.pl</w:t>
    </w:r>
  </w:p>
  <w:p w14:paraId="4F2B61F4" w14:textId="77777777" w:rsidR="00F20F27" w:rsidRPr="000E3BA7" w:rsidRDefault="006353D9" w:rsidP="00C60625">
    <w:pPr>
      <w:rPr>
        <w:rFonts w:cs="Arial"/>
        <w:noProof/>
        <w:sz w:val="18"/>
        <w:szCs w:val="18"/>
        <w:lang w:eastAsia="pl-PL"/>
      </w:rPr>
    </w:pPr>
    <w:r w:rsidRPr="000E3BA7">
      <w:rPr>
        <w:rFonts w:cs="Arial"/>
        <w:noProof/>
        <w:sz w:val="18"/>
        <w:szCs w:val="18"/>
        <w:lang w:eastAsia="pl-PL"/>
      </w:rPr>
      <w:t xml:space="preserve">tel. </w:t>
    </w:r>
    <w:r>
      <w:rPr>
        <w:rFonts w:cs="Arial"/>
        <w:noProof/>
        <w:sz w:val="18"/>
        <w:szCs w:val="18"/>
        <w:lang w:eastAsia="pl-PL"/>
      </w:rPr>
      <w:t>797 748 526</w:t>
    </w:r>
  </w:p>
  <w:p w14:paraId="4E59A934" w14:textId="77777777" w:rsidR="00F20F27" w:rsidRPr="00D51020" w:rsidRDefault="00F20F27" w:rsidP="00C60625">
    <w:pPr>
      <w:rPr>
        <w:rFonts w:cs="Arial"/>
        <w:noProof/>
        <w:sz w:val="18"/>
        <w:szCs w:val="18"/>
        <w:lang w:eastAsia="pl-PL"/>
      </w:rPr>
    </w:pPr>
  </w:p>
  <w:p w14:paraId="60BD0861" w14:textId="77777777" w:rsidR="00F20F27" w:rsidRDefault="00F20F27" w:rsidP="00C606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58BA" w14:textId="77777777" w:rsidR="00F20F27" w:rsidRDefault="00F20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150C" w14:textId="77777777" w:rsidR="007E6F70" w:rsidRDefault="007E6F70" w:rsidP="000C76A7">
      <w:r>
        <w:separator/>
      </w:r>
    </w:p>
  </w:footnote>
  <w:footnote w:type="continuationSeparator" w:id="0">
    <w:p w14:paraId="454F995E" w14:textId="77777777" w:rsidR="007E6F70" w:rsidRDefault="007E6F70" w:rsidP="000C76A7">
      <w:r>
        <w:continuationSeparator/>
      </w:r>
    </w:p>
  </w:footnote>
  <w:footnote w:type="continuationNotice" w:id="1">
    <w:p w14:paraId="4959F60C" w14:textId="77777777" w:rsidR="007E6F70" w:rsidRDefault="007E6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C550" w14:textId="77777777" w:rsidR="00F20F27" w:rsidRDefault="00F20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68AC" w14:textId="77777777" w:rsidR="00F20F27" w:rsidRDefault="00F20F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CDAC" w14:textId="77777777" w:rsidR="00F20F27" w:rsidRDefault="00F20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48C3"/>
    <w:multiLevelType w:val="hybridMultilevel"/>
    <w:tmpl w:val="3B78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378E"/>
    <w:multiLevelType w:val="hybridMultilevel"/>
    <w:tmpl w:val="CFBC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4111"/>
    <w:multiLevelType w:val="hybridMultilevel"/>
    <w:tmpl w:val="5CCA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F335E"/>
    <w:multiLevelType w:val="hybridMultilevel"/>
    <w:tmpl w:val="CFBCF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672058">
    <w:abstractNumId w:val="0"/>
  </w:num>
  <w:num w:numId="2" w16cid:durableId="565453407">
    <w:abstractNumId w:val="2"/>
  </w:num>
  <w:num w:numId="3" w16cid:durableId="511337808">
    <w:abstractNumId w:val="1"/>
  </w:num>
  <w:num w:numId="4" w16cid:durableId="13069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A7"/>
    <w:rsid w:val="00005B68"/>
    <w:rsid w:val="00021052"/>
    <w:rsid w:val="000404C1"/>
    <w:rsid w:val="00070934"/>
    <w:rsid w:val="000A37AC"/>
    <w:rsid w:val="000C76A7"/>
    <w:rsid w:val="00110DA7"/>
    <w:rsid w:val="00144261"/>
    <w:rsid w:val="0015093B"/>
    <w:rsid w:val="001A29D6"/>
    <w:rsid w:val="0020262D"/>
    <w:rsid w:val="00231AEA"/>
    <w:rsid w:val="00231F93"/>
    <w:rsid w:val="002743DD"/>
    <w:rsid w:val="002B6C1F"/>
    <w:rsid w:val="003242F6"/>
    <w:rsid w:val="00357995"/>
    <w:rsid w:val="003755EA"/>
    <w:rsid w:val="00375E5D"/>
    <w:rsid w:val="003840C7"/>
    <w:rsid w:val="0038535A"/>
    <w:rsid w:val="003854E3"/>
    <w:rsid w:val="003A1F34"/>
    <w:rsid w:val="003C132F"/>
    <w:rsid w:val="003D0E6C"/>
    <w:rsid w:val="003E4892"/>
    <w:rsid w:val="00414411"/>
    <w:rsid w:val="0042335D"/>
    <w:rsid w:val="00427377"/>
    <w:rsid w:val="00474901"/>
    <w:rsid w:val="00484115"/>
    <w:rsid w:val="004B107A"/>
    <w:rsid w:val="004B2E9F"/>
    <w:rsid w:val="004E096F"/>
    <w:rsid w:val="004F7726"/>
    <w:rsid w:val="00562560"/>
    <w:rsid w:val="005A20E4"/>
    <w:rsid w:val="005A2554"/>
    <w:rsid w:val="005B2545"/>
    <w:rsid w:val="005D2F8D"/>
    <w:rsid w:val="005E3453"/>
    <w:rsid w:val="00604F67"/>
    <w:rsid w:val="006353D9"/>
    <w:rsid w:val="0064351F"/>
    <w:rsid w:val="00677CA2"/>
    <w:rsid w:val="006A0129"/>
    <w:rsid w:val="006E5486"/>
    <w:rsid w:val="006F73BB"/>
    <w:rsid w:val="007001C0"/>
    <w:rsid w:val="00732BCE"/>
    <w:rsid w:val="00742531"/>
    <w:rsid w:val="00792836"/>
    <w:rsid w:val="007C1D13"/>
    <w:rsid w:val="007E52A6"/>
    <w:rsid w:val="007E6F70"/>
    <w:rsid w:val="00875921"/>
    <w:rsid w:val="008B1995"/>
    <w:rsid w:val="008D757B"/>
    <w:rsid w:val="008E0D4A"/>
    <w:rsid w:val="008F21C2"/>
    <w:rsid w:val="0091095A"/>
    <w:rsid w:val="00917405"/>
    <w:rsid w:val="00976B59"/>
    <w:rsid w:val="00980346"/>
    <w:rsid w:val="00982BC7"/>
    <w:rsid w:val="009A2C14"/>
    <w:rsid w:val="009C2672"/>
    <w:rsid w:val="009D59B0"/>
    <w:rsid w:val="00A23EFE"/>
    <w:rsid w:val="00A34C86"/>
    <w:rsid w:val="00B351EC"/>
    <w:rsid w:val="00B50F4F"/>
    <w:rsid w:val="00B97A70"/>
    <w:rsid w:val="00BB11C2"/>
    <w:rsid w:val="00BD06FC"/>
    <w:rsid w:val="00C21F10"/>
    <w:rsid w:val="00C2205B"/>
    <w:rsid w:val="00C60625"/>
    <w:rsid w:val="00C659DC"/>
    <w:rsid w:val="00C9133A"/>
    <w:rsid w:val="00CD6B7B"/>
    <w:rsid w:val="00CE7B1B"/>
    <w:rsid w:val="00D12AB8"/>
    <w:rsid w:val="00D30293"/>
    <w:rsid w:val="00D4626A"/>
    <w:rsid w:val="00D466E3"/>
    <w:rsid w:val="00D5013D"/>
    <w:rsid w:val="00D74A46"/>
    <w:rsid w:val="00D96C7D"/>
    <w:rsid w:val="00DC22DF"/>
    <w:rsid w:val="00DC664C"/>
    <w:rsid w:val="00DD4337"/>
    <w:rsid w:val="00E04A44"/>
    <w:rsid w:val="00E2007E"/>
    <w:rsid w:val="00E2530D"/>
    <w:rsid w:val="00E66E3B"/>
    <w:rsid w:val="00E922CA"/>
    <w:rsid w:val="00EC6FE4"/>
    <w:rsid w:val="00EE0344"/>
    <w:rsid w:val="00EF08C2"/>
    <w:rsid w:val="00EF31B5"/>
    <w:rsid w:val="00F20F27"/>
    <w:rsid w:val="00F61570"/>
    <w:rsid w:val="00F67C35"/>
    <w:rsid w:val="00F94F91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BC9"/>
  <w15:chartTrackingRefBased/>
  <w15:docId w15:val="{955423F3-01A4-4EC8-AD65-B711E9C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33A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6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6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6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6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6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6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6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6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6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6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6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91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133A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C91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33A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rsid w:val="00C913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13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9133A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9133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33A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rsid w:val="00C9133A"/>
    <w:rPr>
      <w:vertAlign w:val="superscript"/>
    </w:rPr>
  </w:style>
  <w:style w:type="character" w:customStyle="1" w:styleId="cf01">
    <w:name w:val="cf01"/>
    <w:basedOn w:val="Domylnaczcionkaakapitu"/>
    <w:rsid w:val="00C9133A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2335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33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1F93"/>
    <w:rPr>
      <w:color w:val="96607D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3D9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15093B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43D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18A75A55D9E478C2903514C521AAC" ma:contentTypeVersion="18" ma:contentTypeDescription="Utwórz nowy dokument." ma:contentTypeScope="" ma:versionID="6ac5e90488c32a31838751882dd29cf3">
  <xsd:schema xmlns:xsd="http://www.w3.org/2001/XMLSchema" xmlns:xs="http://www.w3.org/2001/XMLSchema" xmlns:p="http://schemas.microsoft.com/office/2006/metadata/properties" xmlns:ns2="74fa4c49-4b2a-4d40-aa74-d1aa57165171" xmlns:ns3="9f157585-f10d-475e-91d6-0bceafc2ba6a" targetNamespace="http://schemas.microsoft.com/office/2006/metadata/properties" ma:root="true" ma:fieldsID="673b68ad112cd54eb5a73d59df835029" ns2:_="" ns3:_="">
    <xsd:import namespace="74fa4c49-4b2a-4d40-aa74-d1aa57165171"/>
    <xsd:import namespace="9f157585-f10d-475e-91d6-0bceafc2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4c49-4b2a-4d40-aa74-d1aa57165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90565b-c8d6-4820-963a-ada991518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585-f10d-475e-91d6-0bceafc2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e8304-5072-46ac-967c-ed6dfe6c1939}" ma:internalName="TaxCatchAll" ma:showField="CatchAllData" ma:web="9f157585-f10d-475e-91d6-0bceafc2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0B7F2-4775-413A-8EF7-80018EB9A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85C97-A06E-4082-9698-F1D4D808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4c49-4b2a-4d40-aa74-d1aa57165171"/>
    <ds:schemaRef ds:uri="9f157585-f10d-475e-91d6-0bceafc2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rudowicz</dc:creator>
  <cp:keywords/>
  <dc:description/>
  <cp:lastModifiedBy>Aneta Wasilewska</cp:lastModifiedBy>
  <cp:revision>17</cp:revision>
  <cp:lastPrinted>2024-08-05T12:24:00Z</cp:lastPrinted>
  <dcterms:created xsi:type="dcterms:W3CDTF">2024-08-06T22:36:00Z</dcterms:created>
  <dcterms:modified xsi:type="dcterms:W3CDTF">2024-10-08T13:04:00Z</dcterms:modified>
</cp:coreProperties>
</file>