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4C" w:rsidRPr="00377360" w:rsidRDefault="0098049C" w:rsidP="00F2304C">
      <w:pPr>
        <w:rPr>
          <w:rFonts w:cs="Arial"/>
        </w:rPr>
      </w:pPr>
      <w:r>
        <w:rPr>
          <w:rFonts w:cs="Arial"/>
          <w:noProof/>
          <w:color w:val="808080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10883</wp:posOffset>
            </wp:positionH>
            <wp:positionV relativeFrom="paragraph">
              <wp:posOffset>-104864</wp:posOffset>
            </wp:positionV>
            <wp:extent cx="2062716" cy="1148317"/>
            <wp:effectExtent l="0" t="0" r="0" b="0"/>
            <wp:wrapNone/>
            <wp:docPr id="3" name="Obraz 3" descr="PPS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PS_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331" t="66324" r="34921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16" cy="11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EC6" w:rsidRPr="00377360" w:rsidRDefault="00513EC6" w:rsidP="00F2304C">
      <w:pPr>
        <w:rPr>
          <w:rFonts w:cs="Arial"/>
          <w:color w:val="808080"/>
        </w:rPr>
      </w:pPr>
    </w:p>
    <w:p w:rsidR="00513EC6" w:rsidRPr="00377360" w:rsidRDefault="00513EC6" w:rsidP="00513EC6">
      <w:pPr>
        <w:rPr>
          <w:rFonts w:cs="Arial"/>
        </w:rPr>
      </w:pPr>
    </w:p>
    <w:p w:rsidR="00FB50F5" w:rsidRPr="00377360" w:rsidRDefault="00FB50F5" w:rsidP="00283277">
      <w:pPr>
        <w:tabs>
          <w:tab w:val="left" w:pos="1830"/>
        </w:tabs>
        <w:jc w:val="right"/>
        <w:rPr>
          <w:rFonts w:cs="Arial"/>
          <w:color w:val="808080"/>
        </w:rPr>
      </w:pPr>
    </w:p>
    <w:p w:rsidR="002D4BFB" w:rsidRDefault="00616F68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 xml:space="preserve">                         </w:t>
      </w:r>
      <w:r w:rsidR="00DF5804">
        <w:rPr>
          <w:rFonts w:cs="Arial"/>
          <w:color w:val="808080"/>
          <w:sz w:val="20"/>
        </w:rPr>
        <w:tab/>
      </w:r>
      <w:r w:rsidR="00DF5804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8A20AB">
        <w:rPr>
          <w:rFonts w:cs="Arial"/>
          <w:color w:val="808080"/>
          <w:sz w:val="20"/>
        </w:rPr>
        <w:t xml:space="preserve">                   </w:t>
      </w:r>
    </w:p>
    <w:p w:rsidR="002D4BFB" w:rsidRDefault="002D4BFB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</w:p>
    <w:p w:rsidR="00D7760C" w:rsidRDefault="00BD4AB9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 xml:space="preserve">Warszawa, </w:t>
      </w:r>
      <w:r w:rsidR="008D5B6E">
        <w:rPr>
          <w:rFonts w:cs="Arial"/>
          <w:color w:val="808080"/>
          <w:sz w:val="20"/>
        </w:rPr>
        <w:t>31 marc</w:t>
      </w:r>
      <w:r w:rsidR="000D42DE">
        <w:rPr>
          <w:rFonts w:cs="Arial"/>
          <w:color w:val="808080"/>
          <w:sz w:val="20"/>
        </w:rPr>
        <w:t>a</w:t>
      </w:r>
      <w:r w:rsidR="00770EBB">
        <w:rPr>
          <w:rFonts w:cs="Arial"/>
          <w:color w:val="808080"/>
          <w:sz w:val="20"/>
        </w:rPr>
        <w:t xml:space="preserve"> </w:t>
      </w:r>
      <w:r w:rsidR="006116A2" w:rsidRPr="00377360">
        <w:rPr>
          <w:rFonts w:cs="Arial"/>
          <w:color w:val="808080"/>
          <w:sz w:val="20"/>
        </w:rPr>
        <w:t>201</w:t>
      </w:r>
      <w:r w:rsidR="00D16419">
        <w:rPr>
          <w:rFonts w:cs="Arial"/>
          <w:color w:val="808080"/>
          <w:sz w:val="20"/>
        </w:rPr>
        <w:t>5</w:t>
      </w:r>
      <w:r w:rsidR="006116A2" w:rsidRPr="00377360">
        <w:rPr>
          <w:rFonts w:cs="Arial"/>
          <w:color w:val="808080"/>
          <w:sz w:val="20"/>
        </w:rPr>
        <w:t xml:space="preserve"> r.</w:t>
      </w:r>
    </w:p>
    <w:p w:rsidR="00E733DB" w:rsidRDefault="00E733DB" w:rsidP="00E733DB">
      <w:pPr>
        <w:tabs>
          <w:tab w:val="left" w:pos="1830"/>
        </w:tabs>
        <w:rPr>
          <w:rFonts w:cs="Arial"/>
          <w:color w:val="808080"/>
          <w:sz w:val="20"/>
        </w:rPr>
      </w:pPr>
    </w:p>
    <w:p w:rsidR="00E733DB" w:rsidRPr="00377360" w:rsidRDefault="00E733DB" w:rsidP="00E733DB">
      <w:pPr>
        <w:tabs>
          <w:tab w:val="left" w:pos="1830"/>
        </w:tabs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>INFORMACJA PRASOWA</w:t>
      </w:r>
    </w:p>
    <w:p w:rsidR="00706458" w:rsidRDefault="00706458" w:rsidP="00532D51">
      <w:pPr>
        <w:jc w:val="center"/>
        <w:rPr>
          <w:rFonts w:cs="Arial"/>
          <w:b/>
          <w:color w:val="FF0000"/>
          <w:szCs w:val="24"/>
        </w:rPr>
      </w:pPr>
    </w:p>
    <w:p w:rsidR="001D733F" w:rsidRPr="005723FD" w:rsidRDefault="003F4B6A" w:rsidP="00AC3CDB">
      <w:pPr>
        <w:jc w:val="center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A</w:t>
      </w:r>
      <w:r w:rsidR="00245D6A">
        <w:rPr>
          <w:rFonts w:cs="Arial"/>
          <w:b/>
          <w:sz w:val="22"/>
          <w:szCs w:val="24"/>
        </w:rPr>
        <w:t>kcyz</w:t>
      </w:r>
      <w:r>
        <w:rPr>
          <w:rFonts w:cs="Arial"/>
          <w:b/>
          <w:sz w:val="22"/>
          <w:szCs w:val="24"/>
        </w:rPr>
        <w:t>a</w:t>
      </w:r>
      <w:r w:rsidR="00245D6A">
        <w:rPr>
          <w:rFonts w:cs="Arial"/>
          <w:b/>
          <w:sz w:val="22"/>
          <w:szCs w:val="24"/>
        </w:rPr>
        <w:t xml:space="preserve"> </w:t>
      </w:r>
      <w:r w:rsidR="00367E9B">
        <w:rPr>
          <w:rFonts w:cs="Arial"/>
          <w:b/>
          <w:sz w:val="22"/>
          <w:szCs w:val="24"/>
        </w:rPr>
        <w:t xml:space="preserve">na alkohol </w:t>
      </w:r>
      <w:r w:rsidR="00245D6A">
        <w:rPr>
          <w:rFonts w:cs="Arial"/>
          <w:b/>
          <w:sz w:val="22"/>
          <w:szCs w:val="24"/>
        </w:rPr>
        <w:t>do poprawki</w:t>
      </w:r>
    </w:p>
    <w:p w:rsidR="00AC3CDB" w:rsidRPr="005A3AEE" w:rsidRDefault="00AC3CDB" w:rsidP="00AC3CDB">
      <w:pPr>
        <w:jc w:val="center"/>
        <w:rPr>
          <w:rFonts w:cs="Arial"/>
          <w:b/>
          <w:sz w:val="22"/>
          <w:szCs w:val="24"/>
        </w:rPr>
      </w:pPr>
    </w:p>
    <w:p w:rsidR="00797F4E" w:rsidRDefault="00797F4E" w:rsidP="007E6DCD">
      <w:pPr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 xml:space="preserve">Polityka akcyzowa powinna </w:t>
      </w:r>
      <w:r w:rsidR="00367E9B">
        <w:rPr>
          <w:rFonts w:cs="Arial"/>
          <w:b/>
          <w:color w:val="000000"/>
          <w:sz w:val="20"/>
          <w:szCs w:val="22"/>
        </w:rPr>
        <w:t xml:space="preserve">być zrównoważona i </w:t>
      </w:r>
      <w:r>
        <w:rPr>
          <w:rFonts w:cs="Arial"/>
          <w:b/>
          <w:color w:val="000000"/>
          <w:sz w:val="20"/>
          <w:szCs w:val="22"/>
        </w:rPr>
        <w:t xml:space="preserve">uwzględniać długofalowe konsekwencje zmian stawek dla </w:t>
      </w:r>
      <w:r w:rsidR="00367E9B">
        <w:rPr>
          <w:rFonts w:cs="Arial"/>
          <w:b/>
          <w:color w:val="000000"/>
          <w:sz w:val="20"/>
          <w:szCs w:val="22"/>
        </w:rPr>
        <w:t>budżetu państwa</w:t>
      </w:r>
      <w:r>
        <w:rPr>
          <w:rFonts w:cs="Arial"/>
          <w:b/>
          <w:color w:val="000000"/>
          <w:sz w:val="20"/>
          <w:szCs w:val="22"/>
        </w:rPr>
        <w:t xml:space="preserve"> </w:t>
      </w:r>
      <w:r w:rsidR="00367E9B">
        <w:rPr>
          <w:rFonts w:cs="Arial"/>
          <w:b/>
          <w:color w:val="000000"/>
          <w:sz w:val="20"/>
          <w:szCs w:val="22"/>
        </w:rPr>
        <w:t xml:space="preserve">i sektora gospodarczego </w:t>
      </w:r>
      <w:r>
        <w:rPr>
          <w:rFonts w:cs="Arial"/>
          <w:b/>
          <w:color w:val="000000"/>
          <w:sz w:val="20"/>
          <w:szCs w:val="22"/>
        </w:rPr>
        <w:t xml:space="preserve">– to główny wniosek </w:t>
      </w:r>
      <w:r w:rsidR="00857B22">
        <w:rPr>
          <w:rFonts w:cs="Arial"/>
          <w:b/>
          <w:color w:val="000000"/>
          <w:sz w:val="20"/>
          <w:szCs w:val="22"/>
        </w:rPr>
        <w:t xml:space="preserve">z </w:t>
      </w:r>
      <w:r>
        <w:rPr>
          <w:rFonts w:cs="Arial"/>
          <w:b/>
          <w:color w:val="000000"/>
          <w:sz w:val="20"/>
          <w:szCs w:val="22"/>
        </w:rPr>
        <w:t xml:space="preserve">debaty pt. „Bilans podwyżki akcyzy – rynek i budżet państwa”, która odbyła się </w:t>
      </w:r>
      <w:r w:rsidR="00857B22">
        <w:rPr>
          <w:rFonts w:cs="Arial"/>
          <w:b/>
          <w:color w:val="000000"/>
          <w:sz w:val="20"/>
          <w:szCs w:val="22"/>
        </w:rPr>
        <w:t>w Krajowej Izbie Gospodarczej</w:t>
      </w:r>
      <w:r>
        <w:rPr>
          <w:rFonts w:cs="Arial"/>
          <w:b/>
          <w:color w:val="000000"/>
          <w:sz w:val="20"/>
          <w:szCs w:val="22"/>
        </w:rPr>
        <w:t xml:space="preserve">. </w:t>
      </w:r>
      <w:r w:rsidR="00367E9B">
        <w:rPr>
          <w:rFonts w:cs="Arial"/>
          <w:b/>
          <w:color w:val="000000"/>
          <w:sz w:val="20"/>
          <w:szCs w:val="22"/>
        </w:rPr>
        <w:t>W</w:t>
      </w:r>
      <w:r w:rsidR="007B7DDE">
        <w:rPr>
          <w:rFonts w:cs="Arial"/>
          <w:b/>
          <w:color w:val="000000"/>
          <w:sz w:val="20"/>
          <w:szCs w:val="22"/>
        </w:rPr>
        <w:t xml:space="preserve"> opinii ekspertów w</w:t>
      </w:r>
      <w:r w:rsidR="00367E9B">
        <w:rPr>
          <w:rFonts w:cs="Arial"/>
          <w:b/>
          <w:color w:val="000000"/>
          <w:sz w:val="20"/>
          <w:szCs w:val="22"/>
        </w:rPr>
        <w:t xml:space="preserve">prowadzona przez rząd w 2014 r. 15 % podwyżka akcyzy </w:t>
      </w:r>
      <w:r w:rsidR="007B7DDE">
        <w:rPr>
          <w:rFonts w:cs="Arial"/>
          <w:b/>
          <w:color w:val="000000"/>
          <w:sz w:val="20"/>
          <w:szCs w:val="22"/>
        </w:rPr>
        <w:t xml:space="preserve">wyłącznie </w:t>
      </w:r>
      <w:r w:rsidR="00367E9B">
        <w:rPr>
          <w:rFonts w:cs="Arial"/>
          <w:b/>
          <w:color w:val="000000"/>
          <w:sz w:val="20"/>
          <w:szCs w:val="22"/>
        </w:rPr>
        <w:t xml:space="preserve">na napoje spirytusowe to przykład </w:t>
      </w:r>
      <w:r w:rsidR="00AF2BC8">
        <w:rPr>
          <w:rFonts w:cs="Arial"/>
          <w:b/>
          <w:color w:val="000000"/>
          <w:sz w:val="20"/>
          <w:szCs w:val="22"/>
        </w:rPr>
        <w:t>niewłaściwego</w:t>
      </w:r>
      <w:r w:rsidR="007B7DDE">
        <w:rPr>
          <w:rFonts w:cs="Arial"/>
          <w:b/>
          <w:color w:val="000000"/>
          <w:sz w:val="20"/>
          <w:szCs w:val="22"/>
        </w:rPr>
        <w:t xml:space="preserve"> </w:t>
      </w:r>
      <w:r w:rsidR="00367E9B">
        <w:rPr>
          <w:rFonts w:cs="Arial"/>
          <w:b/>
          <w:color w:val="000000"/>
          <w:sz w:val="20"/>
          <w:szCs w:val="22"/>
        </w:rPr>
        <w:t>gaszenia pożaru</w:t>
      </w:r>
      <w:r w:rsidR="007B7DDE">
        <w:rPr>
          <w:rFonts w:cs="Arial"/>
          <w:b/>
          <w:color w:val="000000"/>
          <w:sz w:val="20"/>
          <w:szCs w:val="22"/>
        </w:rPr>
        <w:t xml:space="preserve"> </w:t>
      </w:r>
      <w:r w:rsidR="002578A4">
        <w:rPr>
          <w:rFonts w:cs="Arial"/>
          <w:b/>
          <w:color w:val="000000"/>
          <w:sz w:val="20"/>
          <w:szCs w:val="22"/>
        </w:rPr>
        <w:t>czyli łatania</w:t>
      </w:r>
      <w:r w:rsidR="007B7DDE">
        <w:rPr>
          <w:rFonts w:cs="Arial"/>
          <w:b/>
          <w:color w:val="000000"/>
          <w:sz w:val="20"/>
          <w:szCs w:val="22"/>
        </w:rPr>
        <w:t xml:space="preserve"> dziury budżetowej</w:t>
      </w:r>
      <w:r w:rsidR="00367E9B">
        <w:rPr>
          <w:rFonts w:cs="Arial"/>
          <w:b/>
          <w:color w:val="000000"/>
          <w:sz w:val="20"/>
          <w:szCs w:val="22"/>
        </w:rPr>
        <w:t>.</w:t>
      </w:r>
      <w:r w:rsidR="007B7DDE">
        <w:rPr>
          <w:rFonts w:cs="Arial"/>
          <w:b/>
          <w:color w:val="000000"/>
          <w:sz w:val="20"/>
          <w:szCs w:val="22"/>
        </w:rPr>
        <w:t xml:space="preserve"> </w:t>
      </w:r>
    </w:p>
    <w:p w:rsidR="00797F4E" w:rsidRDefault="00797F4E" w:rsidP="007E6DCD">
      <w:pPr>
        <w:jc w:val="both"/>
        <w:rPr>
          <w:rFonts w:cs="Arial"/>
          <w:b/>
          <w:color w:val="000000"/>
          <w:sz w:val="20"/>
          <w:szCs w:val="22"/>
        </w:rPr>
      </w:pPr>
    </w:p>
    <w:p w:rsidR="007B7DDE" w:rsidRPr="003F4B6A" w:rsidRDefault="00AF2BC8" w:rsidP="00797F4E">
      <w:pPr>
        <w:jc w:val="both"/>
        <w:rPr>
          <w:rFonts w:cs="Arial"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>Wpływy budżetowe poniżej oczekiwań, przedsiębiorstwa w kryzysie</w:t>
      </w:r>
    </w:p>
    <w:p w:rsidR="007B7DDE" w:rsidRPr="003F4B6A" w:rsidRDefault="007B7DDE" w:rsidP="00797F4E">
      <w:pPr>
        <w:jc w:val="both"/>
        <w:rPr>
          <w:rFonts w:cs="Arial"/>
          <w:color w:val="000000"/>
          <w:sz w:val="20"/>
          <w:szCs w:val="22"/>
        </w:rPr>
      </w:pPr>
    </w:p>
    <w:p w:rsidR="003F4B6A" w:rsidRDefault="003F4B6A" w:rsidP="003F4B6A">
      <w:pPr>
        <w:jc w:val="both"/>
        <w:rPr>
          <w:rFonts w:cs="Arial"/>
          <w:color w:val="000000"/>
          <w:sz w:val="20"/>
        </w:rPr>
      </w:pPr>
      <w:r w:rsidRPr="003F4B6A">
        <w:rPr>
          <w:rFonts w:cs="Arial"/>
          <w:color w:val="000000"/>
          <w:sz w:val="20"/>
        </w:rPr>
        <w:t>Otwierając spotkanie</w:t>
      </w:r>
      <w:r>
        <w:rPr>
          <w:rFonts w:cs="Arial"/>
          <w:b/>
          <w:color w:val="000000"/>
          <w:sz w:val="20"/>
        </w:rPr>
        <w:t xml:space="preserve"> </w:t>
      </w:r>
      <w:r w:rsidRPr="001E27C5">
        <w:rPr>
          <w:rFonts w:cs="Arial"/>
          <w:b/>
          <w:color w:val="000000"/>
          <w:sz w:val="20"/>
        </w:rPr>
        <w:t>Andrzej Arendarski, Prezes Krajowej Izby Gospodarczej</w:t>
      </w:r>
      <w:r>
        <w:rPr>
          <w:rFonts w:cs="Arial"/>
          <w:color w:val="000000"/>
          <w:sz w:val="20"/>
        </w:rPr>
        <w:t xml:space="preserve"> </w:t>
      </w:r>
      <w:r w:rsidR="0069724E">
        <w:rPr>
          <w:rFonts w:cs="Arial"/>
          <w:color w:val="000000"/>
          <w:sz w:val="20"/>
        </w:rPr>
        <w:t>zaznaczył</w:t>
      </w:r>
      <w:r>
        <w:rPr>
          <w:rFonts w:cs="Arial"/>
          <w:color w:val="000000"/>
          <w:sz w:val="20"/>
        </w:rPr>
        <w:t xml:space="preserve">, że rzeczywistość gospodarcza jest bardziej skomplikowana niż arkusz </w:t>
      </w:r>
      <w:proofErr w:type="spellStart"/>
      <w:r w:rsidR="0069724E">
        <w:rPr>
          <w:rFonts w:cs="Arial"/>
          <w:color w:val="000000"/>
          <w:sz w:val="20"/>
        </w:rPr>
        <w:t>excel</w:t>
      </w:r>
      <w:proofErr w:type="spellEnd"/>
      <w:r w:rsidR="0069724E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Ministra Finansów i nie ma prostej zależności </w:t>
      </w:r>
      <w:r w:rsidR="0069724E">
        <w:rPr>
          <w:rFonts w:cs="Arial"/>
          <w:color w:val="000000"/>
          <w:sz w:val="20"/>
        </w:rPr>
        <w:t xml:space="preserve">pomiędzy podwyżką podatku a wzrostem </w:t>
      </w:r>
      <w:r>
        <w:rPr>
          <w:rFonts w:cs="Arial"/>
          <w:color w:val="000000"/>
          <w:sz w:val="20"/>
        </w:rPr>
        <w:t>wpływ</w:t>
      </w:r>
      <w:r w:rsidR="0069724E">
        <w:rPr>
          <w:rFonts w:cs="Arial"/>
          <w:color w:val="000000"/>
          <w:sz w:val="20"/>
        </w:rPr>
        <w:t>ów</w:t>
      </w:r>
      <w:r>
        <w:rPr>
          <w:rFonts w:cs="Arial"/>
          <w:color w:val="000000"/>
          <w:sz w:val="20"/>
        </w:rPr>
        <w:t xml:space="preserve"> budżetow</w:t>
      </w:r>
      <w:r w:rsidR="0069724E">
        <w:rPr>
          <w:rFonts w:cs="Arial"/>
          <w:color w:val="000000"/>
          <w:sz w:val="20"/>
        </w:rPr>
        <w:t xml:space="preserve">ych. Przypomniał, że </w:t>
      </w:r>
      <w:r>
        <w:rPr>
          <w:rFonts w:cs="Arial"/>
          <w:color w:val="000000"/>
          <w:sz w:val="20"/>
        </w:rPr>
        <w:t xml:space="preserve"> </w:t>
      </w:r>
      <w:r w:rsidRPr="00DE2EFD">
        <w:rPr>
          <w:rFonts w:cs="Arial"/>
          <w:color w:val="000000"/>
          <w:sz w:val="20"/>
        </w:rPr>
        <w:t xml:space="preserve">KIG od lat </w:t>
      </w:r>
      <w:r w:rsidR="0069724E">
        <w:rPr>
          <w:rFonts w:cs="Arial"/>
          <w:color w:val="000000"/>
          <w:sz w:val="20"/>
        </w:rPr>
        <w:t xml:space="preserve">zachęca rządzących do dialogu </w:t>
      </w:r>
      <w:r w:rsidRPr="00DE2EFD">
        <w:rPr>
          <w:rFonts w:cs="Arial"/>
          <w:color w:val="000000"/>
          <w:sz w:val="20"/>
        </w:rPr>
        <w:t>i prowadzenia realnych konsultacji zmian przepisów dotykających biznes. Często dzięki temu udaje się ochronić gospodarkę przed wprow</w:t>
      </w:r>
      <w:r>
        <w:rPr>
          <w:rFonts w:cs="Arial"/>
          <w:color w:val="000000"/>
          <w:sz w:val="20"/>
        </w:rPr>
        <w:t xml:space="preserve">adzeniem </w:t>
      </w:r>
      <w:r w:rsidR="00AF2BC8">
        <w:rPr>
          <w:rFonts w:cs="Arial"/>
          <w:color w:val="000000"/>
          <w:sz w:val="20"/>
        </w:rPr>
        <w:t xml:space="preserve">wielu </w:t>
      </w:r>
      <w:r>
        <w:rPr>
          <w:rFonts w:cs="Arial"/>
          <w:color w:val="000000"/>
          <w:sz w:val="20"/>
        </w:rPr>
        <w:t xml:space="preserve">nietrafionych decyzji. </w:t>
      </w:r>
      <w:r w:rsidR="00AF2BC8">
        <w:rPr>
          <w:rFonts w:cs="Arial"/>
          <w:color w:val="000000"/>
          <w:sz w:val="20"/>
        </w:rPr>
        <w:t>Dziś widać, że w</w:t>
      </w:r>
      <w:r w:rsidRPr="00DE2EFD">
        <w:rPr>
          <w:rFonts w:cs="Arial"/>
          <w:color w:val="000000"/>
          <w:sz w:val="20"/>
        </w:rPr>
        <w:t xml:space="preserve"> przypadku ostatniej podwyżki </w:t>
      </w:r>
      <w:r w:rsidR="00AF2BC8">
        <w:rPr>
          <w:rFonts w:cs="Arial"/>
          <w:color w:val="000000"/>
          <w:sz w:val="20"/>
        </w:rPr>
        <w:t>akcyzy</w:t>
      </w:r>
      <w:r w:rsidRPr="00DE2EFD">
        <w:rPr>
          <w:rFonts w:cs="Arial"/>
          <w:color w:val="000000"/>
          <w:sz w:val="20"/>
        </w:rPr>
        <w:t xml:space="preserve"> na napoje spirytusowe </w:t>
      </w:r>
      <w:r w:rsidR="00AB4577" w:rsidRPr="00DE2EFD">
        <w:rPr>
          <w:rFonts w:cs="Arial"/>
          <w:color w:val="000000"/>
          <w:sz w:val="20"/>
        </w:rPr>
        <w:t>zabrakło</w:t>
      </w:r>
      <w:r w:rsidR="00AB4577">
        <w:rPr>
          <w:rFonts w:cs="Arial"/>
          <w:color w:val="000000"/>
          <w:sz w:val="20"/>
        </w:rPr>
        <w:t xml:space="preserve"> gotowości </w:t>
      </w:r>
      <w:r w:rsidR="00877BA5">
        <w:rPr>
          <w:rFonts w:cs="Arial"/>
          <w:color w:val="000000"/>
          <w:sz w:val="20"/>
        </w:rPr>
        <w:t xml:space="preserve">rządu </w:t>
      </w:r>
      <w:r w:rsidR="00AB4577">
        <w:rPr>
          <w:rFonts w:cs="Arial"/>
          <w:color w:val="000000"/>
          <w:sz w:val="20"/>
        </w:rPr>
        <w:t xml:space="preserve">do </w:t>
      </w:r>
      <w:r w:rsidRPr="00DE2EFD">
        <w:rPr>
          <w:rFonts w:cs="Arial"/>
          <w:color w:val="000000"/>
          <w:sz w:val="20"/>
        </w:rPr>
        <w:t>takiego dialogu.</w:t>
      </w:r>
    </w:p>
    <w:p w:rsidR="003F4B6A" w:rsidRPr="00DE2EFD" w:rsidRDefault="003F4B6A" w:rsidP="003F4B6A">
      <w:pPr>
        <w:jc w:val="both"/>
        <w:rPr>
          <w:rFonts w:cs="Arial"/>
          <w:color w:val="000000"/>
          <w:sz w:val="20"/>
        </w:rPr>
      </w:pPr>
    </w:p>
    <w:p w:rsidR="00AF2BC8" w:rsidRDefault="00797F4E" w:rsidP="00797F4E">
      <w:pPr>
        <w:jc w:val="both"/>
        <w:rPr>
          <w:rFonts w:cs="Arial"/>
          <w:color w:val="000000"/>
          <w:sz w:val="20"/>
          <w:szCs w:val="22"/>
        </w:rPr>
      </w:pPr>
      <w:r w:rsidRPr="001E27C5">
        <w:rPr>
          <w:rFonts w:cs="Arial"/>
          <w:b/>
          <w:color w:val="000000"/>
          <w:sz w:val="20"/>
          <w:szCs w:val="22"/>
        </w:rPr>
        <w:t>Maciej Rapkiewicz</w:t>
      </w:r>
      <w:r w:rsidR="00AF2BC8">
        <w:rPr>
          <w:rFonts w:cs="Arial"/>
          <w:b/>
          <w:color w:val="000000"/>
          <w:sz w:val="20"/>
          <w:szCs w:val="22"/>
        </w:rPr>
        <w:t>, ekspert Instytutu Sobieskiego</w:t>
      </w:r>
      <w:r w:rsidR="007B7DDE">
        <w:rPr>
          <w:rFonts w:cs="Arial"/>
          <w:b/>
          <w:color w:val="000000"/>
          <w:sz w:val="20"/>
          <w:szCs w:val="22"/>
        </w:rPr>
        <w:t xml:space="preserve"> </w:t>
      </w:r>
      <w:r w:rsidR="0069724E">
        <w:rPr>
          <w:rFonts w:cs="Arial"/>
          <w:color w:val="000000"/>
          <w:sz w:val="20"/>
          <w:szCs w:val="22"/>
        </w:rPr>
        <w:t xml:space="preserve">przypomniał, że </w:t>
      </w:r>
      <w:r w:rsidR="00AB4577">
        <w:rPr>
          <w:rFonts w:cs="Arial"/>
          <w:color w:val="000000"/>
          <w:sz w:val="20"/>
          <w:szCs w:val="22"/>
        </w:rPr>
        <w:t xml:space="preserve">po zapowiedzi </w:t>
      </w:r>
      <w:r w:rsidR="00AF2BC8">
        <w:rPr>
          <w:rFonts w:cs="Arial"/>
          <w:color w:val="000000"/>
          <w:sz w:val="20"/>
          <w:szCs w:val="22"/>
        </w:rPr>
        <w:t xml:space="preserve">15% </w:t>
      </w:r>
      <w:r w:rsidR="00AB4577">
        <w:rPr>
          <w:rFonts w:cs="Arial"/>
          <w:color w:val="000000"/>
          <w:sz w:val="20"/>
          <w:szCs w:val="22"/>
        </w:rPr>
        <w:t xml:space="preserve">podwyżki akcyzy </w:t>
      </w:r>
      <w:r w:rsidR="00AF2BC8">
        <w:rPr>
          <w:rFonts w:cs="Arial"/>
          <w:color w:val="000000"/>
          <w:sz w:val="20"/>
          <w:szCs w:val="22"/>
        </w:rPr>
        <w:t xml:space="preserve">na napoje spirytusowe </w:t>
      </w:r>
      <w:r w:rsidR="0069724E">
        <w:rPr>
          <w:rFonts w:cs="Arial"/>
          <w:color w:val="000000"/>
          <w:sz w:val="20"/>
          <w:szCs w:val="22"/>
        </w:rPr>
        <w:t>In</w:t>
      </w:r>
      <w:r w:rsidR="00AB4577">
        <w:rPr>
          <w:rFonts w:cs="Arial"/>
          <w:color w:val="000000"/>
          <w:sz w:val="20"/>
          <w:szCs w:val="22"/>
        </w:rPr>
        <w:t>stytut przygotował ekspertyzę w której wska</w:t>
      </w:r>
      <w:r w:rsidR="00AF2BC8">
        <w:rPr>
          <w:rFonts w:cs="Arial"/>
          <w:color w:val="000000"/>
          <w:sz w:val="20"/>
          <w:szCs w:val="22"/>
        </w:rPr>
        <w:t xml:space="preserve">zywał, że przyjęte założenia są </w:t>
      </w:r>
      <w:r w:rsidR="00AB4577">
        <w:rPr>
          <w:rFonts w:cs="Arial"/>
          <w:color w:val="000000"/>
          <w:sz w:val="20"/>
          <w:szCs w:val="22"/>
        </w:rPr>
        <w:t>nierealistyczne, a zakładane wpływy budżetowe</w:t>
      </w:r>
      <w:r w:rsidR="0069724E">
        <w:rPr>
          <w:rFonts w:cs="Arial"/>
          <w:color w:val="000000"/>
          <w:sz w:val="20"/>
          <w:szCs w:val="22"/>
        </w:rPr>
        <w:t xml:space="preserve"> </w:t>
      </w:r>
      <w:r w:rsidR="00DE1314">
        <w:rPr>
          <w:rFonts w:cs="Arial"/>
          <w:color w:val="000000"/>
          <w:sz w:val="20"/>
          <w:szCs w:val="22"/>
        </w:rPr>
        <w:t>(</w:t>
      </w:r>
      <w:r w:rsidR="00DE1314" w:rsidRPr="00DE1314">
        <w:rPr>
          <w:rFonts w:cs="Arial"/>
          <w:color w:val="000000"/>
          <w:sz w:val="20"/>
          <w:szCs w:val="22"/>
        </w:rPr>
        <w:t>7,4 mld z</w:t>
      </w:r>
      <w:r w:rsidR="00877BA5">
        <w:rPr>
          <w:rFonts w:cs="Arial"/>
          <w:color w:val="000000"/>
          <w:sz w:val="20"/>
          <w:szCs w:val="22"/>
        </w:rPr>
        <w:t>ł, czyli w porównaniu z 2012 r.</w:t>
      </w:r>
      <w:r w:rsidR="00DE1314">
        <w:rPr>
          <w:rFonts w:cs="Arial"/>
          <w:color w:val="000000"/>
          <w:sz w:val="20"/>
          <w:szCs w:val="22"/>
        </w:rPr>
        <w:t xml:space="preserve">) nie zostaną osiągnięte. </w:t>
      </w:r>
      <w:r w:rsidR="00AF2BC8">
        <w:rPr>
          <w:rFonts w:cs="Arial"/>
          <w:color w:val="000000"/>
          <w:sz w:val="20"/>
          <w:szCs w:val="22"/>
        </w:rPr>
        <w:t>Zwracano</w:t>
      </w:r>
      <w:r w:rsidR="00AF2BC8" w:rsidRPr="00AF2BC8">
        <w:rPr>
          <w:rFonts w:cs="Arial"/>
          <w:color w:val="000000"/>
          <w:sz w:val="20"/>
          <w:szCs w:val="22"/>
        </w:rPr>
        <w:t xml:space="preserve"> uwagę </w:t>
      </w:r>
      <w:r w:rsidR="00877BA5">
        <w:rPr>
          <w:rFonts w:cs="Arial"/>
          <w:color w:val="000000"/>
          <w:sz w:val="20"/>
          <w:szCs w:val="22"/>
        </w:rPr>
        <w:t xml:space="preserve">m.in. na wysokie, </w:t>
      </w:r>
      <w:r w:rsidR="00AF2BC8" w:rsidRPr="00AF2BC8">
        <w:rPr>
          <w:rFonts w:cs="Arial"/>
          <w:color w:val="000000"/>
          <w:sz w:val="20"/>
          <w:szCs w:val="22"/>
        </w:rPr>
        <w:t>już przed podwyżką</w:t>
      </w:r>
      <w:r w:rsidR="00877BA5">
        <w:rPr>
          <w:rFonts w:cs="Arial"/>
          <w:color w:val="000000"/>
          <w:sz w:val="20"/>
          <w:szCs w:val="22"/>
        </w:rPr>
        <w:t>,</w:t>
      </w:r>
      <w:r w:rsidR="00AF2BC8" w:rsidRPr="00AF2BC8">
        <w:rPr>
          <w:rFonts w:cs="Arial"/>
          <w:color w:val="000000"/>
          <w:sz w:val="20"/>
          <w:szCs w:val="22"/>
        </w:rPr>
        <w:t xml:space="preserve"> stawki podatków (akcyza oraz VAT) </w:t>
      </w:r>
      <w:r w:rsidR="007B1768">
        <w:rPr>
          <w:rFonts w:cs="Arial"/>
          <w:color w:val="000000"/>
          <w:sz w:val="20"/>
          <w:szCs w:val="22"/>
        </w:rPr>
        <w:br/>
      </w:r>
      <w:r w:rsidR="00877BA5">
        <w:rPr>
          <w:rFonts w:cs="Arial"/>
          <w:color w:val="000000"/>
          <w:sz w:val="20"/>
          <w:szCs w:val="22"/>
        </w:rPr>
        <w:t xml:space="preserve">od </w:t>
      </w:r>
      <w:r w:rsidR="00AF2BC8" w:rsidRPr="00AF2BC8">
        <w:rPr>
          <w:rFonts w:cs="Arial"/>
          <w:color w:val="000000"/>
          <w:sz w:val="20"/>
          <w:szCs w:val="22"/>
        </w:rPr>
        <w:t>wyrobów spirytusowych w Polsce - nie tylko w porównaniu z Ukrainą czy Białorusią, ale także sąsiadującymi państwami należącymi do UE, w tym Niemcami.</w:t>
      </w:r>
      <w:r w:rsidR="00AF2BC8">
        <w:rPr>
          <w:rFonts w:cs="Arial"/>
          <w:color w:val="000000"/>
          <w:sz w:val="20"/>
          <w:szCs w:val="22"/>
        </w:rPr>
        <w:t xml:space="preserve"> </w:t>
      </w:r>
      <w:r w:rsidR="00DE1314">
        <w:rPr>
          <w:rFonts w:cs="Arial"/>
          <w:color w:val="000000"/>
          <w:sz w:val="20"/>
          <w:szCs w:val="22"/>
        </w:rPr>
        <w:t>W konsekwencji wskazywano</w:t>
      </w:r>
      <w:r w:rsidR="00AF2BC8" w:rsidRPr="00AF2BC8">
        <w:rPr>
          <w:rFonts w:cs="Arial"/>
          <w:color w:val="000000"/>
          <w:sz w:val="20"/>
          <w:szCs w:val="22"/>
        </w:rPr>
        <w:t>, że optymalną, z punktu widzenia dochodów budżetu, byłaby umiarkowana podwyżka stawek akcyzy na wszystkie wyroby alkoholowe.</w:t>
      </w:r>
      <w:r w:rsidR="00DE1314">
        <w:rPr>
          <w:rFonts w:cs="Arial"/>
          <w:color w:val="000000"/>
          <w:sz w:val="20"/>
          <w:szCs w:val="22"/>
        </w:rPr>
        <w:t xml:space="preserve"> </w:t>
      </w:r>
      <w:r w:rsidR="00877BA5">
        <w:rPr>
          <w:rFonts w:cs="Arial"/>
          <w:color w:val="000000"/>
          <w:sz w:val="20"/>
          <w:szCs w:val="22"/>
        </w:rPr>
        <w:t>Ministerstwo podjęło jednak inną decyzję.</w:t>
      </w:r>
    </w:p>
    <w:p w:rsidR="00A12D88" w:rsidRPr="00797F4E" w:rsidRDefault="00A12D88" w:rsidP="007E6DCD">
      <w:pPr>
        <w:jc w:val="both"/>
        <w:rPr>
          <w:rFonts w:cs="Arial"/>
          <w:color w:val="000000"/>
          <w:sz w:val="20"/>
          <w:szCs w:val="22"/>
        </w:rPr>
      </w:pPr>
    </w:p>
    <w:p w:rsidR="00C46488" w:rsidRDefault="00DE2EFD" w:rsidP="00067BC9">
      <w:pPr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Po podwyżce akcyzy </w:t>
      </w:r>
      <w:r w:rsidR="00DE1314">
        <w:rPr>
          <w:rFonts w:cs="Arial"/>
          <w:color w:val="000000"/>
          <w:sz w:val="20"/>
        </w:rPr>
        <w:t xml:space="preserve">w 2014 r. </w:t>
      </w:r>
      <w:r>
        <w:rPr>
          <w:rFonts w:cs="Arial"/>
          <w:color w:val="000000"/>
          <w:sz w:val="20"/>
        </w:rPr>
        <w:t xml:space="preserve">jedynie 64% </w:t>
      </w:r>
      <w:r w:rsidR="00067BC9">
        <w:rPr>
          <w:rFonts w:cs="Arial"/>
          <w:color w:val="000000"/>
          <w:sz w:val="20"/>
        </w:rPr>
        <w:t>dużych i średnich firm z branży</w:t>
      </w:r>
      <w:r>
        <w:rPr>
          <w:rFonts w:cs="Arial"/>
          <w:color w:val="000000"/>
          <w:sz w:val="20"/>
        </w:rPr>
        <w:t xml:space="preserve"> </w:t>
      </w:r>
      <w:r w:rsidR="00DE1314">
        <w:rPr>
          <w:rFonts w:cs="Arial"/>
          <w:color w:val="000000"/>
          <w:sz w:val="20"/>
        </w:rPr>
        <w:t xml:space="preserve">spirytusowej </w:t>
      </w:r>
      <w:r>
        <w:rPr>
          <w:rFonts w:cs="Arial"/>
          <w:color w:val="000000"/>
          <w:sz w:val="20"/>
        </w:rPr>
        <w:t>jest rentowne</w:t>
      </w:r>
      <w:r w:rsidR="00067BC9">
        <w:rPr>
          <w:rFonts w:cs="Arial"/>
          <w:color w:val="000000"/>
          <w:sz w:val="20"/>
        </w:rPr>
        <w:t xml:space="preserve"> – zaznaczył </w:t>
      </w:r>
      <w:r w:rsidR="00067BC9" w:rsidRPr="001E27C5">
        <w:rPr>
          <w:rFonts w:cs="Arial"/>
          <w:b/>
          <w:color w:val="000000"/>
          <w:sz w:val="20"/>
        </w:rPr>
        <w:t>Leszek Wiwała, Prezes Zarządu Związku Pracodawców Polski Przemysł Spirytusowy</w:t>
      </w:r>
      <w:r w:rsidR="00C46488">
        <w:rPr>
          <w:rFonts w:cs="Arial"/>
          <w:b/>
          <w:color w:val="000000"/>
          <w:sz w:val="20"/>
        </w:rPr>
        <w:t xml:space="preserve">, </w:t>
      </w:r>
      <w:r w:rsidR="00C46488" w:rsidRPr="00C46488">
        <w:rPr>
          <w:rFonts w:cs="Arial"/>
          <w:color w:val="000000"/>
          <w:sz w:val="20"/>
        </w:rPr>
        <w:t>dodając, że w</w:t>
      </w:r>
      <w:r w:rsidR="00067BC9" w:rsidRPr="00C46488">
        <w:rPr>
          <w:rFonts w:cs="Arial"/>
          <w:color w:val="000000"/>
          <w:sz w:val="20"/>
        </w:rPr>
        <w:t>śród małych producentów syt</w:t>
      </w:r>
      <w:r w:rsidR="00DE1314" w:rsidRPr="00C46488">
        <w:rPr>
          <w:rFonts w:cs="Arial"/>
          <w:color w:val="000000"/>
          <w:sz w:val="20"/>
        </w:rPr>
        <w:t xml:space="preserve">uacja jest jeszcze trudniejsza. </w:t>
      </w:r>
      <w:r w:rsidR="00067BC9">
        <w:rPr>
          <w:rFonts w:cs="Arial"/>
          <w:color w:val="000000"/>
          <w:sz w:val="20"/>
        </w:rPr>
        <w:t xml:space="preserve">Podwyżka doprowadziła do 14 miesięcy spadku produkcji </w:t>
      </w:r>
      <w:r w:rsidR="00DE1314">
        <w:rPr>
          <w:rFonts w:cs="Arial"/>
          <w:color w:val="000000"/>
          <w:sz w:val="20"/>
        </w:rPr>
        <w:t xml:space="preserve">wyrobów spirytusowych </w:t>
      </w:r>
      <w:r w:rsidR="00067BC9">
        <w:rPr>
          <w:rFonts w:cs="Arial"/>
          <w:color w:val="000000"/>
          <w:sz w:val="20"/>
        </w:rPr>
        <w:t>i ogromnej destabilizacji rynku.</w:t>
      </w:r>
      <w:r w:rsidR="00DE1314">
        <w:rPr>
          <w:rFonts w:cs="Arial"/>
          <w:color w:val="000000"/>
          <w:sz w:val="20"/>
        </w:rPr>
        <w:t xml:space="preserve"> W całym 2014 r. produkcja zmalała </w:t>
      </w:r>
      <w:r w:rsidR="007B1768">
        <w:rPr>
          <w:rFonts w:cs="Arial"/>
          <w:color w:val="000000"/>
          <w:sz w:val="20"/>
        </w:rPr>
        <w:br/>
      </w:r>
      <w:r w:rsidR="00DE1314">
        <w:rPr>
          <w:rFonts w:cs="Arial"/>
          <w:color w:val="000000"/>
          <w:sz w:val="20"/>
        </w:rPr>
        <w:t xml:space="preserve">o 24%. </w:t>
      </w:r>
      <w:r w:rsidR="00877BA5">
        <w:rPr>
          <w:rFonts w:cs="Arial"/>
          <w:color w:val="000000"/>
          <w:sz w:val="20"/>
        </w:rPr>
        <w:t xml:space="preserve">Niska rentowność i spadek nakładów inwestycyjnych przełożyły się na gorsze niż zakładano wyniki handlu zagranicznego. Zamiast planowanego 10% wzrostu wolumenu eksportowego w 2014 r. branża wysłała za granicę 3% mniej wyrobów. </w:t>
      </w:r>
    </w:p>
    <w:p w:rsidR="00C46488" w:rsidRDefault="00C46488" w:rsidP="00067BC9">
      <w:pPr>
        <w:jc w:val="both"/>
        <w:rPr>
          <w:rFonts w:cs="Arial"/>
          <w:color w:val="000000"/>
          <w:sz w:val="20"/>
        </w:rPr>
      </w:pPr>
    </w:p>
    <w:p w:rsidR="00DE1314" w:rsidRPr="00877BA5" w:rsidRDefault="00DE1314" w:rsidP="0010652C">
      <w:pPr>
        <w:jc w:val="both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</w:rPr>
        <w:t>Choć trochę miała branży pomóc zapowiadana przez Ministerstwo Finansów deregulacja znosząca nadmierną biurokrację związaną z obowiązkiem akcyzowym, jednak do tej pory stosowna ustawa nie została przyjęta.</w:t>
      </w:r>
    </w:p>
    <w:p w:rsidR="00264D6C" w:rsidRDefault="00264D6C" w:rsidP="008C0C99">
      <w:pPr>
        <w:jc w:val="both"/>
        <w:rPr>
          <w:rFonts w:cs="Arial"/>
          <w:b/>
          <w:color w:val="000000"/>
          <w:sz w:val="20"/>
        </w:rPr>
      </w:pPr>
    </w:p>
    <w:p w:rsidR="00797F4E" w:rsidRPr="00797F4E" w:rsidRDefault="00797F4E" w:rsidP="00797F4E">
      <w:pPr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>Brak dialogu z przedsiębiorcami i długofalowej polityki p</w:t>
      </w:r>
      <w:r w:rsidR="00C045F2">
        <w:rPr>
          <w:rFonts w:cs="Arial"/>
          <w:b/>
          <w:color w:val="000000"/>
          <w:sz w:val="20"/>
          <w:szCs w:val="22"/>
        </w:rPr>
        <w:t>odatkowej</w:t>
      </w:r>
    </w:p>
    <w:p w:rsidR="005A3AEE" w:rsidRDefault="005A3AEE" w:rsidP="008C0C99">
      <w:pPr>
        <w:jc w:val="both"/>
        <w:rPr>
          <w:rFonts w:cs="Arial"/>
          <w:b/>
          <w:color w:val="000000"/>
          <w:sz w:val="20"/>
        </w:rPr>
      </w:pPr>
    </w:p>
    <w:p w:rsidR="005A3AEE" w:rsidRPr="00645326" w:rsidRDefault="00C46488" w:rsidP="008C0C99">
      <w:pPr>
        <w:jc w:val="both"/>
        <w:rPr>
          <w:rFonts w:cs="Arial"/>
          <w:color w:val="000000"/>
          <w:sz w:val="20"/>
        </w:rPr>
      </w:pPr>
      <w:r w:rsidRPr="00C045F2">
        <w:rPr>
          <w:rFonts w:cs="Arial"/>
          <w:b/>
          <w:color w:val="000000"/>
          <w:sz w:val="20"/>
        </w:rPr>
        <w:t>Prof. Robert Gwiazdowski</w:t>
      </w:r>
      <w:r w:rsidR="00DE2EFD" w:rsidRPr="00C46488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ocenił, że M</w:t>
      </w:r>
      <w:r w:rsidR="00C045F2">
        <w:rPr>
          <w:rFonts w:cs="Arial"/>
          <w:color w:val="000000"/>
          <w:sz w:val="20"/>
        </w:rPr>
        <w:t xml:space="preserve">inisterstwo Finansów planuje stawki podatkowe i wpływy budżetowe </w:t>
      </w:r>
      <w:r w:rsidR="007B1768">
        <w:rPr>
          <w:rFonts w:cs="Arial"/>
          <w:color w:val="000000"/>
          <w:sz w:val="20"/>
        </w:rPr>
        <w:br/>
      </w:r>
      <w:r w:rsidR="00C045F2">
        <w:rPr>
          <w:rFonts w:cs="Arial"/>
          <w:color w:val="000000"/>
          <w:sz w:val="20"/>
        </w:rPr>
        <w:t>w oderwaniu od realiów gospodarczych. Kluczowym czynnikiem branym pod uwagę jest kalendarz polityczny. Ponadto MF planuje budżety roczne, a z konsekwencjami decyzji często mierzą się następcy, stąd brak długofalowej polityki fiskalnej. Prof. Gwiazdowski zwrócił uwagę, że racjonalizacja opodatkowania wyrobów akcyzowyc</w:t>
      </w:r>
      <w:r w:rsidR="00645326">
        <w:rPr>
          <w:rFonts w:cs="Arial"/>
          <w:color w:val="000000"/>
          <w:sz w:val="20"/>
        </w:rPr>
        <w:t>h przyniosłaby dodatkowe wpływy</w:t>
      </w:r>
      <w:r w:rsidR="007B1768">
        <w:rPr>
          <w:rFonts w:cs="Arial"/>
          <w:color w:val="000000"/>
          <w:sz w:val="20"/>
        </w:rPr>
        <w:t>. Przypomniał,</w:t>
      </w:r>
      <w:r w:rsidR="00C045F2">
        <w:rPr>
          <w:rFonts w:cs="Arial"/>
          <w:color w:val="000000"/>
          <w:sz w:val="20"/>
        </w:rPr>
        <w:t xml:space="preserve"> że w przypadku wyrobów spirytusowych stawki akcyzy powinny być ustalane szczególnie rozważnie, biorąc pod uwagę alternatywę jaką mają konsumenci </w:t>
      </w:r>
      <w:r w:rsidR="007B1768">
        <w:rPr>
          <w:rFonts w:cs="Arial"/>
          <w:color w:val="000000"/>
          <w:sz w:val="20"/>
        </w:rPr>
        <w:br/>
        <w:t xml:space="preserve">w postaci </w:t>
      </w:r>
      <w:r w:rsidR="00C045F2">
        <w:rPr>
          <w:rFonts w:cs="Arial"/>
          <w:color w:val="000000"/>
          <w:sz w:val="20"/>
        </w:rPr>
        <w:t>alkohol</w:t>
      </w:r>
      <w:r w:rsidR="007B1768">
        <w:rPr>
          <w:rFonts w:cs="Arial"/>
          <w:color w:val="000000"/>
          <w:sz w:val="20"/>
        </w:rPr>
        <w:t>u</w:t>
      </w:r>
      <w:r w:rsidR="00C045F2">
        <w:rPr>
          <w:rFonts w:cs="Arial"/>
          <w:color w:val="000000"/>
          <w:sz w:val="20"/>
        </w:rPr>
        <w:t xml:space="preserve"> z nielegalnego rynku.</w:t>
      </w:r>
    </w:p>
    <w:p w:rsidR="00067BC9" w:rsidRDefault="00C045F2" w:rsidP="008C0C99">
      <w:pPr>
        <w:jc w:val="both"/>
        <w:rPr>
          <w:rFonts w:cs="Arial"/>
          <w:b/>
          <w:color w:val="000000"/>
          <w:sz w:val="20"/>
        </w:rPr>
      </w:pPr>
      <w:r>
        <w:rPr>
          <w:rFonts w:cs="Arial"/>
          <w:color w:val="000000"/>
          <w:sz w:val="20"/>
          <w:szCs w:val="22"/>
        </w:rPr>
        <w:lastRenderedPageBreak/>
        <w:t>Również w</w:t>
      </w:r>
      <w:r w:rsidR="00067BC9">
        <w:rPr>
          <w:rFonts w:cs="Arial"/>
          <w:color w:val="000000"/>
          <w:sz w:val="20"/>
          <w:szCs w:val="22"/>
        </w:rPr>
        <w:t xml:space="preserve">edług </w:t>
      </w:r>
      <w:r w:rsidR="00067BC9" w:rsidRPr="00AF2BC8">
        <w:rPr>
          <w:rFonts w:cs="Arial"/>
          <w:b/>
          <w:color w:val="000000"/>
          <w:sz w:val="20"/>
          <w:szCs w:val="22"/>
        </w:rPr>
        <w:t xml:space="preserve">Macieja </w:t>
      </w:r>
      <w:proofErr w:type="spellStart"/>
      <w:r w:rsidR="00067BC9" w:rsidRPr="00AF2BC8">
        <w:rPr>
          <w:rFonts w:cs="Arial"/>
          <w:b/>
          <w:color w:val="000000"/>
          <w:sz w:val="20"/>
          <w:szCs w:val="22"/>
        </w:rPr>
        <w:t>Rapkiewicza</w:t>
      </w:r>
      <w:proofErr w:type="spellEnd"/>
      <w:r w:rsidR="00067BC9">
        <w:rPr>
          <w:rFonts w:cs="Arial"/>
          <w:color w:val="000000"/>
          <w:sz w:val="20"/>
          <w:szCs w:val="22"/>
        </w:rPr>
        <w:t xml:space="preserve"> p</w:t>
      </w:r>
      <w:r w:rsidR="00067BC9" w:rsidRPr="00797F4E">
        <w:rPr>
          <w:rFonts w:cs="Arial"/>
          <w:bCs/>
          <w:color w:val="000000"/>
          <w:sz w:val="20"/>
          <w:szCs w:val="22"/>
        </w:rPr>
        <w:t>rzy optymalizacji stawek</w:t>
      </w:r>
      <w:r w:rsidR="00067BC9">
        <w:rPr>
          <w:rFonts w:cs="Arial"/>
          <w:bCs/>
          <w:color w:val="000000"/>
          <w:sz w:val="20"/>
          <w:szCs w:val="22"/>
        </w:rPr>
        <w:t xml:space="preserve"> akcyzy od napojów alkoholowych</w:t>
      </w:r>
      <w:r w:rsidR="00067BC9" w:rsidRPr="00797F4E">
        <w:rPr>
          <w:rFonts w:cs="Arial"/>
          <w:bCs/>
          <w:color w:val="000000"/>
          <w:sz w:val="20"/>
          <w:szCs w:val="22"/>
        </w:rPr>
        <w:t xml:space="preserve">, </w:t>
      </w:r>
      <w:r w:rsidR="00067BC9">
        <w:rPr>
          <w:rFonts w:cs="Arial"/>
          <w:bCs/>
          <w:color w:val="000000"/>
          <w:sz w:val="20"/>
          <w:szCs w:val="22"/>
        </w:rPr>
        <w:t xml:space="preserve">budżet mógłby zyskać zdecydowanie </w:t>
      </w:r>
      <w:r w:rsidR="00067BC9" w:rsidRPr="00797F4E">
        <w:rPr>
          <w:rFonts w:cs="Arial"/>
          <w:bCs/>
          <w:color w:val="000000"/>
          <w:sz w:val="20"/>
          <w:szCs w:val="22"/>
        </w:rPr>
        <w:t>wię</w:t>
      </w:r>
      <w:r w:rsidR="00067BC9">
        <w:rPr>
          <w:rFonts w:cs="Arial"/>
          <w:bCs/>
          <w:color w:val="000000"/>
          <w:sz w:val="20"/>
          <w:szCs w:val="22"/>
        </w:rPr>
        <w:t>cej</w:t>
      </w:r>
      <w:r w:rsidR="00067BC9" w:rsidRPr="00797F4E">
        <w:rPr>
          <w:rFonts w:cs="Arial"/>
          <w:bCs/>
          <w:color w:val="000000"/>
          <w:sz w:val="20"/>
          <w:szCs w:val="22"/>
        </w:rPr>
        <w:t>.</w:t>
      </w:r>
      <w:r w:rsidR="00067BC9">
        <w:rPr>
          <w:rFonts w:cs="Arial"/>
          <w:bCs/>
          <w:color w:val="000000"/>
          <w:sz w:val="20"/>
          <w:szCs w:val="22"/>
        </w:rPr>
        <w:t xml:space="preserve"> Ekspert Instytutu</w:t>
      </w:r>
      <w:r>
        <w:rPr>
          <w:rFonts w:cs="Arial"/>
          <w:bCs/>
          <w:color w:val="000000"/>
          <w:sz w:val="20"/>
          <w:szCs w:val="22"/>
        </w:rPr>
        <w:t xml:space="preserve"> z</w:t>
      </w:r>
      <w:r w:rsidR="00067BC9">
        <w:rPr>
          <w:rFonts w:cs="Arial"/>
          <w:bCs/>
          <w:color w:val="000000"/>
          <w:sz w:val="20"/>
          <w:szCs w:val="22"/>
        </w:rPr>
        <w:t xml:space="preserve"> Sobieskiego proponuje</w:t>
      </w:r>
      <w:r w:rsidR="0064554C">
        <w:rPr>
          <w:rFonts w:cs="Arial"/>
          <w:bCs/>
          <w:color w:val="000000"/>
          <w:sz w:val="20"/>
          <w:szCs w:val="22"/>
        </w:rPr>
        <w:t>, aby sk</w:t>
      </w:r>
      <w:r w:rsidR="0064554C" w:rsidRPr="0064554C">
        <w:rPr>
          <w:rFonts w:cs="Arial"/>
          <w:bCs/>
          <w:color w:val="000000"/>
          <w:sz w:val="20"/>
          <w:szCs w:val="22"/>
        </w:rPr>
        <w:t>orzysta</w:t>
      </w:r>
      <w:r w:rsidR="0064554C">
        <w:rPr>
          <w:rFonts w:cs="Arial"/>
          <w:bCs/>
          <w:color w:val="000000"/>
          <w:sz w:val="20"/>
          <w:szCs w:val="22"/>
        </w:rPr>
        <w:t>ć</w:t>
      </w:r>
      <w:r w:rsidR="0064554C" w:rsidRPr="0064554C">
        <w:rPr>
          <w:rFonts w:cs="Arial"/>
          <w:bCs/>
          <w:color w:val="000000"/>
          <w:sz w:val="20"/>
          <w:szCs w:val="22"/>
        </w:rPr>
        <w:t xml:space="preserve"> z dobrych doświadczeń, jakie miały miejsce w Polsce przed ponad 10 laty, kiedy to obniżenie podatku akcyzowego na wyroby spirytusowe przynios</w:t>
      </w:r>
      <w:r w:rsidR="0064554C">
        <w:rPr>
          <w:rFonts w:cs="Arial"/>
          <w:bCs/>
          <w:color w:val="000000"/>
          <w:sz w:val="20"/>
          <w:szCs w:val="22"/>
        </w:rPr>
        <w:t>ło zwiększenie dochodów budżetu</w:t>
      </w:r>
      <w:r w:rsidR="0064554C" w:rsidRPr="0064554C">
        <w:rPr>
          <w:rFonts w:cs="Arial"/>
          <w:bCs/>
          <w:color w:val="000000"/>
          <w:sz w:val="20"/>
          <w:szCs w:val="22"/>
        </w:rPr>
        <w:t xml:space="preserve">. </w:t>
      </w:r>
      <w:hyperlink r:id="rId9" w:history="1">
        <w:r w:rsidR="00AE110C" w:rsidRPr="00AE110C">
          <w:rPr>
            <w:rStyle w:val="Hipercze"/>
            <w:rFonts w:cs="Arial"/>
            <w:b/>
            <w:bCs/>
            <w:i/>
            <w:color w:val="0070C0"/>
            <w:sz w:val="20"/>
            <w:szCs w:val="22"/>
            <w:u w:val="single"/>
          </w:rPr>
          <w:t>Raport IS nt podwyżki akcyzy w 2014 r.</w:t>
        </w:r>
      </w:hyperlink>
      <w:r w:rsidR="00AE110C">
        <w:rPr>
          <w:rFonts w:cs="Arial"/>
          <w:bCs/>
          <w:color w:val="000000"/>
          <w:sz w:val="20"/>
          <w:szCs w:val="22"/>
        </w:rPr>
        <w:t xml:space="preserve"> </w:t>
      </w:r>
    </w:p>
    <w:p w:rsidR="0033249C" w:rsidRDefault="0033249C" w:rsidP="00C21AF6">
      <w:pPr>
        <w:shd w:val="clear" w:color="auto" w:fill="FFFFFF"/>
        <w:jc w:val="center"/>
        <w:rPr>
          <w:rFonts w:cs="Arial"/>
          <w:color w:val="000000"/>
          <w:sz w:val="20"/>
        </w:rPr>
      </w:pPr>
    </w:p>
    <w:p w:rsidR="00C045F2" w:rsidRDefault="00245D6A" w:rsidP="00245D6A">
      <w:pPr>
        <w:shd w:val="clear" w:color="auto" w:fill="FFFFFF"/>
        <w:jc w:val="both"/>
        <w:rPr>
          <w:rFonts w:cs="Arial"/>
          <w:color w:val="000000"/>
          <w:sz w:val="20"/>
        </w:rPr>
      </w:pPr>
      <w:r w:rsidRPr="00245D6A">
        <w:rPr>
          <w:rFonts w:cs="Arial"/>
          <w:b/>
          <w:color w:val="000000"/>
          <w:sz w:val="20"/>
        </w:rPr>
        <w:t>Leszek Wiwała</w:t>
      </w:r>
      <w:r>
        <w:rPr>
          <w:rFonts w:cs="Arial"/>
          <w:color w:val="000000"/>
          <w:sz w:val="20"/>
        </w:rPr>
        <w:t xml:space="preserve"> </w:t>
      </w:r>
      <w:r w:rsidR="00FB1694">
        <w:rPr>
          <w:rFonts w:cs="Arial"/>
          <w:color w:val="000000"/>
          <w:sz w:val="20"/>
        </w:rPr>
        <w:t>podkreślił, że</w:t>
      </w:r>
      <w:r w:rsidR="00C045F2">
        <w:rPr>
          <w:rFonts w:cs="Arial"/>
          <w:color w:val="000000"/>
          <w:sz w:val="20"/>
        </w:rPr>
        <w:t xml:space="preserve"> planując stawki akcyzy </w:t>
      </w:r>
      <w:r w:rsidR="0071383A">
        <w:rPr>
          <w:rFonts w:cs="Arial"/>
          <w:color w:val="000000"/>
          <w:sz w:val="20"/>
        </w:rPr>
        <w:t>rząd</w:t>
      </w:r>
      <w:r w:rsidR="00C045F2">
        <w:rPr>
          <w:rFonts w:cs="Arial"/>
          <w:color w:val="000000"/>
          <w:sz w:val="20"/>
        </w:rPr>
        <w:t xml:space="preserve"> </w:t>
      </w:r>
      <w:r w:rsidR="0071383A">
        <w:rPr>
          <w:rFonts w:cs="Arial"/>
          <w:color w:val="000000"/>
          <w:sz w:val="20"/>
        </w:rPr>
        <w:t>nie powinien</w:t>
      </w:r>
      <w:r w:rsidR="00C045F2">
        <w:rPr>
          <w:rFonts w:cs="Arial"/>
          <w:color w:val="000000"/>
          <w:sz w:val="20"/>
        </w:rPr>
        <w:t xml:space="preserve"> myśleć tylko o wpływach budżetowyc</w:t>
      </w:r>
      <w:r w:rsidR="0071383A">
        <w:rPr>
          <w:rFonts w:cs="Arial"/>
          <w:color w:val="000000"/>
          <w:sz w:val="20"/>
        </w:rPr>
        <w:t>h</w:t>
      </w:r>
      <w:r w:rsidR="00C045F2">
        <w:rPr>
          <w:rFonts w:cs="Arial"/>
          <w:color w:val="000000"/>
          <w:sz w:val="20"/>
        </w:rPr>
        <w:t>. Konsekwencje</w:t>
      </w:r>
      <w:r w:rsidR="007B1768">
        <w:rPr>
          <w:rFonts w:cs="Arial"/>
          <w:color w:val="000000"/>
          <w:sz w:val="20"/>
        </w:rPr>
        <w:t xml:space="preserve"> gospodarcze są bowiem dużo </w:t>
      </w:r>
      <w:r w:rsidR="00C045F2">
        <w:rPr>
          <w:rFonts w:cs="Arial"/>
          <w:color w:val="000000"/>
          <w:sz w:val="20"/>
        </w:rPr>
        <w:t>sze</w:t>
      </w:r>
      <w:r w:rsidR="007B1768">
        <w:rPr>
          <w:rFonts w:cs="Arial"/>
          <w:color w:val="000000"/>
          <w:sz w:val="20"/>
        </w:rPr>
        <w:t>rsze</w:t>
      </w:r>
      <w:r w:rsidR="00C045F2">
        <w:rPr>
          <w:rFonts w:cs="Arial"/>
          <w:color w:val="000000"/>
          <w:sz w:val="20"/>
        </w:rPr>
        <w:t>. Zwrócił uwagę na niedawną decyzję M</w:t>
      </w:r>
      <w:r w:rsidR="0071383A">
        <w:rPr>
          <w:rFonts w:cs="Arial"/>
          <w:color w:val="000000"/>
          <w:sz w:val="20"/>
        </w:rPr>
        <w:t xml:space="preserve">inistra </w:t>
      </w:r>
      <w:r w:rsidR="00C045F2">
        <w:rPr>
          <w:rFonts w:cs="Arial"/>
          <w:color w:val="000000"/>
          <w:sz w:val="20"/>
        </w:rPr>
        <w:t>F</w:t>
      </w:r>
      <w:r w:rsidR="0071383A">
        <w:rPr>
          <w:rFonts w:cs="Arial"/>
          <w:color w:val="000000"/>
          <w:sz w:val="20"/>
        </w:rPr>
        <w:t>inansów Wielkiej Brytanii, który obniżył</w:t>
      </w:r>
      <w:r w:rsidR="00C045F2">
        <w:rPr>
          <w:rFonts w:cs="Arial"/>
          <w:color w:val="000000"/>
          <w:sz w:val="20"/>
        </w:rPr>
        <w:t xml:space="preserve"> o 2% akcyzę na mocne alkohol</w:t>
      </w:r>
      <w:r w:rsidR="0071383A">
        <w:rPr>
          <w:rFonts w:cs="Arial"/>
          <w:color w:val="000000"/>
          <w:sz w:val="20"/>
        </w:rPr>
        <w:t>e</w:t>
      </w:r>
      <w:r w:rsidR="00C045F2">
        <w:rPr>
          <w:rFonts w:cs="Arial"/>
          <w:color w:val="000000"/>
          <w:sz w:val="20"/>
        </w:rPr>
        <w:t xml:space="preserve"> uzasadniając to chęcią utrzymania zatrudnienia w przemyśle</w:t>
      </w:r>
      <w:r w:rsidR="0071383A">
        <w:rPr>
          <w:rFonts w:cs="Arial"/>
          <w:color w:val="000000"/>
          <w:sz w:val="20"/>
        </w:rPr>
        <w:t xml:space="preserve"> spirytusowym</w:t>
      </w:r>
      <w:r w:rsidR="00C045F2">
        <w:rPr>
          <w:rFonts w:cs="Arial"/>
          <w:color w:val="000000"/>
          <w:sz w:val="20"/>
        </w:rPr>
        <w:t xml:space="preserve"> i wsparciem </w:t>
      </w:r>
      <w:r w:rsidR="0071383A">
        <w:rPr>
          <w:rFonts w:cs="Arial"/>
          <w:color w:val="000000"/>
          <w:sz w:val="20"/>
        </w:rPr>
        <w:t xml:space="preserve">producentów w rozwoju </w:t>
      </w:r>
      <w:r w:rsidR="00C045F2">
        <w:rPr>
          <w:rFonts w:cs="Arial"/>
          <w:color w:val="000000"/>
          <w:sz w:val="20"/>
        </w:rPr>
        <w:t>eksportu whisky.</w:t>
      </w:r>
    </w:p>
    <w:p w:rsidR="00C045F2" w:rsidRDefault="00C045F2" w:rsidP="00245D6A">
      <w:pPr>
        <w:shd w:val="clear" w:color="auto" w:fill="FFFFFF"/>
        <w:jc w:val="both"/>
        <w:rPr>
          <w:rFonts w:cs="Arial"/>
          <w:color w:val="000000"/>
          <w:sz w:val="20"/>
        </w:rPr>
      </w:pPr>
    </w:p>
    <w:p w:rsidR="008D5B6E" w:rsidRDefault="0071383A" w:rsidP="00245D6A">
      <w:pPr>
        <w:shd w:val="clear" w:color="auto" w:fill="FFFFFF"/>
        <w:jc w:val="both"/>
        <w:rPr>
          <w:rFonts w:cs="Arial"/>
          <w:color w:val="000000"/>
          <w:sz w:val="20"/>
        </w:rPr>
      </w:pPr>
      <w:r w:rsidRPr="007B1768">
        <w:rPr>
          <w:rFonts w:cs="Arial"/>
          <w:color w:val="000000"/>
          <w:sz w:val="20"/>
        </w:rPr>
        <w:t>P</w:t>
      </w:r>
      <w:r w:rsidR="00245D6A" w:rsidRPr="007B1768">
        <w:rPr>
          <w:rFonts w:cs="Arial"/>
          <w:color w:val="000000"/>
          <w:sz w:val="20"/>
        </w:rPr>
        <w:t xml:space="preserve">olityka podatkowa </w:t>
      </w:r>
      <w:r w:rsidR="00FB1694" w:rsidRPr="007B1768">
        <w:rPr>
          <w:rFonts w:cs="Arial"/>
          <w:color w:val="000000"/>
          <w:sz w:val="20"/>
        </w:rPr>
        <w:t xml:space="preserve">państwa </w:t>
      </w:r>
      <w:r w:rsidR="00245D6A" w:rsidRPr="007B1768">
        <w:rPr>
          <w:rFonts w:cs="Arial"/>
          <w:color w:val="000000"/>
          <w:sz w:val="20"/>
        </w:rPr>
        <w:t>musi uwzględniać realia rynkowe i być sprawiedliwa</w:t>
      </w:r>
      <w:r w:rsidRPr="007B1768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– podkreślił Prezes ZP PPS</w:t>
      </w:r>
      <w:r w:rsidR="00245D6A" w:rsidRPr="00245D6A">
        <w:rPr>
          <w:rFonts w:cs="Arial"/>
          <w:color w:val="000000"/>
          <w:sz w:val="20"/>
        </w:rPr>
        <w:t xml:space="preserve">. Przed podwyżką napoje spirytusowe były najbardziej obciążoną podatkowo kategorią alkoholi. Po podwyżce z 2014 r. nierówności </w:t>
      </w:r>
      <w:r w:rsidR="00FB1694">
        <w:rPr>
          <w:rFonts w:cs="Arial"/>
          <w:color w:val="000000"/>
          <w:sz w:val="20"/>
        </w:rPr>
        <w:t xml:space="preserve">jeszcze się </w:t>
      </w:r>
      <w:r w:rsidR="007B1768">
        <w:rPr>
          <w:rFonts w:cs="Arial"/>
          <w:color w:val="000000"/>
          <w:sz w:val="20"/>
        </w:rPr>
        <w:t xml:space="preserve">pogłębiły. </w:t>
      </w:r>
      <w:r w:rsidR="00245D6A" w:rsidRPr="00245D6A">
        <w:rPr>
          <w:rFonts w:cs="Arial"/>
          <w:color w:val="000000"/>
          <w:sz w:val="20"/>
        </w:rPr>
        <w:t>Dziś</w:t>
      </w:r>
      <w:r w:rsidR="00FB1694">
        <w:rPr>
          <w:rFonts w:cs="Arial"/>
          <w:color w:val="000000"/>
          <w:sz w:val="20"/>
        </w:rPr>
        <w:t xml:space="preserve"> p</w:t>
      </w:r>
      <w:r w:rsidR="00245D6A" w:rsidRPr="00245D6A">
        <w:rPr>
          <w:rFonts w:cs="Arial"/>
          <w:color w:val="000000"/>
          <w:sz w:val="20"/>
        </w:rPr>
        <w:t xml:space="preserve">roducenci mocnych trunków, które stanowią </w:t>
      </w:r>
      <w:r w:rsidR="007B1768">
        <w:rPr>
          <w:rFonts w:cs="Arial"/>
          <w:color w:val="000000"/>
          <w:sz w:val="20"/>
        </w:rPr>
        <w:br/>
      </w:r>
      <w:r w:rsidR="00245D6A" w:rsidRPr="00245D6A">
        <w:rPr>
          <w:rFonts w:cs="Arial"/>
          <w:color w:val="000000"/>
          <w:sz w:val="20"/>
        </w:rPr>
        <w:t>7% konsumowanego w Polsce alkoholu płacą 65% wpływów z podatku akcyzowego od alkoholu (biorąc pod uwagę, że statystyczny Polak wypija rocznie 98l piwa, 8l napojów spirytusowych i 6l wina). A M</w:t>
      </w:r>
      <w:r w:rsidR="00245D6A">
        <w:rPr>
          <w:rFonts w:cs="Arial"/>
          <w:color w:val="000000"/>
          <w:sz w:val="20"/>
        </w:rPr>
        <w:t xml:space="preserve">inisterstwo </w:t>
      </w:r>
      <w:r w:rsidR="00245D6A" w:rsidRPr="00245D6A">
        <w:rPr>
          <w:rFonts w:cs="Arial"/>
          <w:color w:val="000000"/>
          <w:sz w:val="20"/>
        </w:rPr>
        <w:t>F</w:t>
      </w:r>
      <w:r w:rsidR="00245D6A">
        <w:rPr>
          <w:rFonts w:cs="Arial"/>
          <w:color w:val="000000"/>
          <w:sz w:val="20"/>
        </w:rPr>
        <w:t>inansów</w:t>
      </w:r>
      <w:r w:rsidR="00245D6A" w:rsidRPr="00245D6A">
        <w:rPr>
          <w:rFonts w:cs="Arial"/>
          <w:color w:val="000000"/>
          <w:sz w:val="20"/>
        </w:rPr>
        <w:t xml:space="preserve"> nie osiąga zaplanowanych wpływów. Tak dalej być nie powinno.</w:t>
      </w:r>
      <w:r w:rsidR="00FB1694" w:rsidRPr="00FB1694">
        <w:rPr>
          <w:rFonts w:cs="Arial"/>
          <w:color w:val="000000"/>
          <w:sz w:val="20"/>
        </w:rPr>
        <w:t xml:space="preserve"> </w:t>
      </w:r>
    </w:p>
    <w:p w:rsidR="008D5B6E" w:rsidRDefault="008D5B6E" w:rsidP="00C21AF6">
      <w:pPr>
        <w:shd w:val="clear" w:color="auto" w:fill="FFFFFF"/>
        <w:jc w:val="center"/>
        <w:rPr>
          <w:rFonts w:cs="Arial"/>
          <w:color w:val="000000"/>
          <w:sz w:val="20"/>
        </w:rPr>
      </w:pPr>
    </w:p>
    <w:p w:rsidR="0071383A" w:rsidRDefault="0071383A" w:rsidP="00C21AF6">
      <w:pPr>
        <w:shd w:val="clear" w:color="auto" w:fill="FFFFFF"/>
        <w:jc w:val="center"/>
        <w:rPr>
          <w:rFonts w:cs="Arial"/>
          <w:color w:val="000000"/>
          <w:sz w:val="20"/>
        </w:rPr>
      </w:pPr>
    </w:p>
    <w:p w:rsidR="008D5B6E" w:rsidRDefault="008D5B6E" w:rsidP="00C21AF6">
      <w:pPr>
        <w:shd w:val="clear" w:color="auto" w:fill="FFFFFF"/>
        <w:jc w:val="center"/>
        <w:rPr>
          <w:rFonts w:cs="Arial"/>
          <w:color w:val="000000"/>
          <w:sz w:val="20"/>
        </w:rPr>
      </w:pPr>
    </w:p>
    <w:p w:rsidR="009A5DAF" w:rsidRDefault="009A5DAF" w:rsidP="00C21AF6">
      <w:pPr>
        <w:shd w:val="clear" w:color="auto" w:fill="FFFFFF"/>
        <w:jc w:val="center"/>
        <w:rPr>
          <w:rFonts w:cs="Arial"/>
          <w:sz w:val="20"/>
        </w:rPr>
      </w:pPr>
      <w:r>
        <w:rPr>
          <w:rFonts w:cs="Arial"/>
          <w:sz w:val="20"/>
        </w:rPr>
        <w:t>***</w:t>
      </w:r>
    </w:p>
    <w:p w:rsidR="002D4BFB" w:rsidRPr="00667815" w:rsidRDefault="00ED2180" w:rsidP="00C21AF6">
      <w:pPr>
        <w:pStyle w:val="NormalnyWeb"/>
        <w:jc w:val="both"/>
        <w:rPr>
          <w:rFonts w:ascii="Arial" w:hAnsi="Arial" w:cs="Arial"/>
          <w:color w:val="000000"/>
          <w:sz w:val="18"/>
          <w:szCs w:val="18"/>
        </w:rPr>
      </w:pPr>
      <w:r w:rsidRPr="00851C54">
        <w:rPr>
          <w:rFonts w:ascii="Arial" w:hAnsi="Arial" w:cs="Arial"/>
          <w:b/>
          <w:color w:val="000000"/>
          <w:sz w:val="18"/>
          <w:szCs w:val="18"/>
        </w:rPr>
        <w:t>Związek Pracodawców Polski Przemysł Spirytusowy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jest organizacją branżową zrzeszającą producentów napojów spirytusowych. Do jego zadań należy podejmowanie działań ukierunkowanych na rozwój branży spirytusowej w Polsce i za granicą poprzez współpracę z przedstawicielami władzy publicznej oraz organizacjami społecznymi. ZP PPS zajmuje się przede wszystkim kwestiami związanymi z tworzeniem odpowiednich warunków prawnych i ekonomicznych dla rozwoju branży, umacnianiem wielowiekowej tradycji wyrobów spirytusowych, promowaniem nowych technologii oraz realizacją działań z zakresu społecznej odpowiedzialności biznesu w branży spirytusowej. Podejmuje również szerokie działania edukacyjne mające na celu rozpowszechnienie wiedzy na temat zagrożeń związanych z jego nieodpowiedzialną konsumpcją i sprzedażą alkoholu. Członkami ZP PPS są: </w:t>
      </w:r>
      <w:proofErr w:type="spellStart"/>
      <w:r w:rsidR="00B15A5D" w:rsidRPr="00B15A5D">
        <w:rPr>
          <w:rFonts w:ascii="Arial" w:hAnsi="Arial" w:cs="Arial"/>
          <w:color w:val="000000"/>
          <w:sz w:val="18"/>
          <w:szCs w:val="18"/>
        </w:rPr>
        <w:t>Akwawit-Polmos</w:t>
      </w:r>
      <w:proofErr w:type="spellEnd"/>
      <w:r w:rsidR="00B15A5D" w:rsidRPr="00B15A5D">
        <w:rPr>
          <w:rFonts w:ascii="Arial" w:hAnsi="Arial" w:cs="Arial"/>
          <w:color w:val="000000"/>
          <w:sz w:val="18"/>
          <w:szCs w:val="18"/>
        </w:rPr>
        <w:t xml:space="preserve"> S.A.</w:t>
      </w:r>
      <w:r w:rsidR="00B15A5D">
        <w:rPr>
          <w:rFonts w:ascii="Arial" w:hAnsi="Arial" w:cs="Arial"/>
          <w:color w:val="000000"/>
          <w:sz w:val="18"/>
          <w:szCs w:val="18"/>
        </w:rPr>
        <w:t>,</w:t>
      </w:r>
      <w:r w:rsidR="00B15A5D" w:rsidRPr="00B15A5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1C54">
        <w:rPr>
          <w:rFonts w:ascii="Arial" w:hAnsi="Arial" w:cs="Arial"/>
          <w:color w:val="000000"/>
          <w:sz w:val="18"/>
          <w:szCs w:val="18"/>
        </w:rPr>
        <w:t>Bacardi</w:t>
      </w:r>
      <w:proofErr w:type="spellEnd"/>
      <w:r w:rsidRPr="00851C54">
        <w:rPr>
          <w:rFonts w:ascii="Arial" w:hAnsi="Arial" w:cs="Arial"/>
          <w:color w:val="000000"/>
          <w:sz w:val="18"/>
          <w:szCs w:val="18"/>
        </w:rPr>
        <w:t xml:space="preserve"> Martini Polska, </w:t>
      </w:r>
      <w:r w:rsidR="006E1E2F">
        <w:rPr>
          <w:rFonts w:ascii="Arial" w:hAnsi="Arial" w:cs="Arial"/>
          <w:color w:val="000000"/>
          <w:sz w:val="18"/>
          <w:szCs w:val="18"/>
        </w:rPr>
        <w:t xml:space="preserve">Baczewski J.A., 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Brown Forman Polska, </w:t>
      </w:r>
      <w:proofErr w:type="spellStart"/>
      <w:r w:rsidRPr="00851C54">
        <w:rPr>
          <w:rFonts w:ascii="Arial" w:hAnsi="Arial" w:cs="Arial"/>
          <w:color w:val="000000"/>
          <w:sz w:val="18"/>
          <w:szCs w:val="18"/>
        </w:rPr>
        <w:t>Diageo</w:t>
      </w:r>
      <w:proofErr w:type="spellEnd"/>
      <w:r w:rsidRPr="00851C54">
        <w:rPr>
          <w:rFonts w:ascii="Arial" w:hAnsi="Arial" w:cs="Arial"/>
          <w:color w:val="000000"/>
          <w:sz w:val="18"/>
          <w:szCs w:val="18"/>
        </w:rPr>
        <w:t xml:space="preserve"> Polska, Komers International, Mazurskie Miody, </w:t>
      </w:r>
      <w:r w:rsidR="004B3565">
        <w:rPr>
          <w:rFonts w:ascii="Arial" w:hAnsi="Arial" w:cs="Arial"/>
          <w:color w:val="000000"/>
          <w:sz w:val="18"/>
          <w:szCs w:val="18"/>
        </w:rPr>
        <w:t xml:space="preserve">Nalewki Staropolskie, </w:t>
      </w:r>
      <w:r w:rsidRPr="00DC4EA7">
        <w:rPr>
          <w:rFonts w:ascii="Arial" w:hAnsi="Arial" w:cs="Arial"/>
          <w:color w:val="000000"/>
          <w:sz w:val="18"/>
          <w:szCs w:val="18"/>
        </w:rPr>
        <w:t>PHP Wiesław Wawrzyniak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Polmos Siedlce, Polmos Żyrardów, Polmos</w:t>
      </w:r>
      <w:r w:rsidR="00B15A5D">
        <w:rPr>
          <w:rFonts w:ascii="Arial" w:hAnsi="Arial" w:cs="Arial"/>
          <w:color w:val="000000"/>
          <w:sz w:val="18"/>
          <w:szCs w:val="18"/>
        </w:rPr>
        <w:t xml:space="preserve"> Warszawa, </w:t>
      </w:r>
      <w:r w:rsidRPr="00D13611">
        <w:rPr>
          <w:rFonts w:ascii="Arial" w:hAnsi="Arial" w:cs="Arial"/>
          <w:color w:val="000000"/>
          <w:sz w:val="18"/>
          <w:szCs w:val="18"/>
        </w:rPr>
        <w:t>PPUH Tłocznia Mau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D13611"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z w:val="18"/>
          <w:szCs w:val="18"/>
        </w:rPr>
        <w:t xml:space="preserve">, Stock Polska, </w:t>
      </w:r>
      <w:r w:rsidR="00F76B53">
        <w:rPr>
          <w:rFonts w:ascii="Arial" w:hAnsi="Arial" w:cs="Arial"/>
          <w:color w:val="000000"/>
          <w:sz w:val="18"/>
          <w:szCs w:val="18"/>
        </w:rPr>
        <w:t xml:space="preserve">Warszawska Wytwórnia Wódek Koneser, </w:t>
      </w:r>
      <w:r w:rsidR="004B3565">
        <w:rPr>
          <w:rFonts w:ascii="Arial" w:hAnsi="Arial" w:cs="Arial"/>
          <w:color w:val="000000"/>
          <w:sz w:val="18"/>
          <w:szCs w:val="18"/>
        </w:rPr>
        <w:t xml:space="preserve">Wyborowa Pernod Ricard,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Vinpol</w:t>
      </w:r>
      <w:proofErr w:type="spellEnd"/>
      <w:r w:rsidRPr="00851C54">
        <w:rPr>
          <w:rFonts w:ascii="Arial" w:hAnsi="Arial" w:cs="Arial"/>
          <w:color w:val="000000"/>
          <w:sz w:val="18"/>
          <w:szCs w:val="18"/>
        </w:rPr>
        <w:t>.</w:t>
      </w:r>
    </w:p>
    <w:sectPr w:rsidR="002D4BFB" w:rsidRPr="00667815" w:rsidSect="00C62E03">
      <w:footerReference w:type="default" r:id="rId10"/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B7" w:rsidRDefault="00A257B7">
      <w:r>
        <w:separator/>
      </w:r>
    </w:p>
  </w:endnote>
  <w:endnote w:type="continuationSeparator" w:id="0">
    <w:p w:rsidR="00A257B7" w:rsidRDefault="00A2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DB" w:rsidRDefault="00AC3CDB" w:rsidP="00B43B7F"/>
  <w:p w:rsidR="00AC3CDB" w:rsidRPr="00BF6C6E" w:rsidRDefault="00AC3CDB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:rsidR="00AC3CDB" w:rsidRDefault="00AC3CDB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:rsidR="00AC3CDB" w:rsidRPr="005F38A4" w:rsidRDefault="00AC3CDB" w:rsidP="006116A2">
    <w:pPr>
      <w:rPr>
        <w:rFonts w:cs="Arial"/>
        <w:sz w:val="18"/>
        <w:szCs w:val="18"/>
      </w:rPr>
    </w:pPr>
    <w:r w:rsidRPr="005F38A4">
      <w:rPr>
        <w:rFonts w:cs="Arial"/>
        <w:sz w:val="18"/>
        <w:szCs w:val="18"/>
      </w:rPr>
      <w:t xml:space="preserve">KONTAKT: </w:t>
    </w:r>
  </w:p>
  <w:p w:rsidR="00AC3CDB" w:rsidRPr="005F38A4" w:rsidRDefault="00AC3CDB" w:rsidP="006116A2">
    <w:pPr>
      <w:rPr>
        <w:rFonts w:cs="Arial"/>
        <w:noProof/>
        <w:sz w:val="18"/>
        <w:szCs w:val="18"/>
        <w:lang w:eastAsia="pl-PL"/>
      </w:rPr>
    </w:pPr>
    <w:bookmarkStart w:id="0" w:name="_MailAutoSig"/>
    <w:r>
      <w:rPr>
        <w:rFonts w:cs="Arial"/>
        <w:noProof/>
        <w:sz w:val="18"/>
        <w:szCs w:val="18"/>
        <w:lang w:eastAsia="pl-PL"/>
      </w:rPr>
      <w:t>Iga Wasilewicz,</w:t>
    </w:r>
    <w:r w:rsidRPr="005F38A4">
      <w:rPr>
        <w:rFonts w:cs="Arial"/>
        <w:noProof/>
        <w:sz w:val="18"/>
        <w:szCs w:val="18"/>
        <w:lang w:eastAsia="pl-PL"/>
      </w:rPr>
      <w:t xml:space="preserve"> Związek Pracodawców Polski Przemysł Spirytusowy</w:t>
    </w:r>
  </w:p>
  <w:p w:rsidR="00AC3CDB" w:rsidRPr="005F38A4" w:rsidRDefault="00AC3CDB" w:rsidP="006116A2">
    <w:pPr>
      <w:rPr>
        <w:rFonts w:cs="Arial"/>
        <w:noProof/>
        <w:sz w:val="18"/>
        <w:szCs w:val="18"/>
        <w:lang w:val="en-US" w:eastAsia="pl-PL"/>
      </w:rPr>
    </w:pPr>
    <w:r>
      <w:rPr>
        <w:rFonts w:cs="Arial"/>
        <w:noProof/>
        <w:sz w:val="18"/>
        <w:szCs w:val="18"/>
        <w:lang w:val="en-US" w:eastAsia="pl-PL"/>
      </w:rPr>
      <w:t>tel. 22 630 98 87, e-mail: i.wasilewicz@</w:t>
    </w:r>
    <w:r w:rsidR="00264D6C">
      <w:rPr>
        <w:rFonts w:cs="Arial"/>
        <w:noProof/>
        <w:sz w:val="18"/>
        <w:szCs w:val="18"/>
        <w:lang w:val="en-US" w:eastAsia="pl-PL"/>
      </w:rPr>
      <w:t>zp</w:t>
    </w:r>
    <w:r w:rsidRPr="005F38A4">
      <w:rPr>
        <w:rFonts w:cs="Arial"/>
        <w:noProof/>
        <w:sz w:val="18"/>
        <w:szCs w:val="18"/>
        <w:lang w:val="en-US" w:eastAsia="pl-PL"/>
      </w:rPr>
      <w:t>pps.pl</w:t>
    </w:r>
  </w:p>
  <w:p w:rsidR="00AC3CDB" w:rsidRPr="005F38A4" w:rsidRDefault="00AC3CDB" w:rsidP="006116A2">
    <w:pPr>
      <w:rPr>
        <w:rFonts w:cs="Arial"/>
        <w:noProof/>
        <w:sz w:val="18"/>
        <w:szCs w:val="18"/>
        <w:lang w:eastAsia="pl-PL"/>
      </w:rPr>
    </w:pPr>
    <w:r w:rsidRPr="005F38A4">
      <w:rPr>
        <w:rFonts w:cs="Arial"/>
        <w:noProof/>
        <w:sz w:val="18"/>
        <w:szCs w:val="18"/>
        <w:lang w:eastAsia="pl-PL"/>
      </w:rPr>
      <w:t>ul. Trębacka 4, lok. 338 – 342, 00-074 Warszawa</w:t>
    </w:r>
  </w:p>
  <w:p w:rsidR="00AC3CDB" w:rsidRPr="005F38A4" w:rsidRDefault="00DC7124" w:rsidP="006116A2">
    <w:pPr>
      <w:rPr>
        <w:rFonts w:cs="Arial"/>
        <w:noProof/>
        <w:sz w:val="18"/>
        <w:szCs w:val="18"/>
        <w:lang w:eastAsia="pl-PL"/>
      </w:rPr>
    </w:pPr>
    <w:hyperlink r:id="rId1" w:history="1">
      <w:r w:rsidR="00264D6C" w:rsidRPr="00681186">
        <w:rPr>
          <w:rStyle w:val="Hipercze"/>
          <w:rFonts w:cs="Arial"/>
          <w:noProof/>
          <w:sz w:val="18"/>
          <w:szCs w:val="18"/>
          <w:lang w:eastAsia="pl-PL"/>
        </w:rPr>
        <w:t>www.zppps.pl</w:t>
      </w:r>
    </w:hyperlink>
    <w:r w:rsidR="00AC3CDB" w:rsidRPr="005F38A4">
      <w:rPr>
        <w:rFonts w:cs="Arial"/>
        <w:sz w:val="18"/>
        <w:szCs w:val="18"/>
      </w:rPr>
      <w:t xml:space="preserve"> </w:t>
    </w:r>
    <w:r w:rsidR="00264D6C">
      <w:rPr>
        <w:rFonts w:cs="Arial"/>
        <w:sz w:val="18"/>
        <w:szCs w:val="18"/>
      </w:rPr>
      <w:t xml:space="preserve">, </w:t>
    </w:r>
    <w:r w:rsidR="00264D6C" w:rsidRPr="00264D6C">
      <w:rPr>
        <w:rFonts w:cs="Arial"/>
        <w:color w:val="0070C0"/>
        <w:sz w:val="18"/>
        <w:szCs w:val="18"/>
      </w:rPr>
      <w:t>@ZP_PPS</w:t>
    </w:r>
  </w:p>
  <w:bookmarkEnd w:id="0"/>
  <w:p w:rsidR="00AC3CDB" w:rsidRDefault="00AC3C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B7" w:rsidRDefault="00A257B7">
      <w:r>
        <w:separator/>
      </w:r>
    </w:p>
  </w:footnote>
  <w:footnote w:type="continuationSeparator" w:id="0">
    <w:p w:rsidR="00A257B7" w:rsidRDefault="00A25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BE5A0E"/>
    <w:multiLevelType w:val="hybridMultilevel"/>
    <w:tmpl w:val="DA406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B2AAE"/>
    <w:multiLevelType w:val="hybridMultilevel"/>
    <w:tmpl w:val="44921F2A"/>
    <w:lvl w:ilvl="0" w:tplc="D7AA0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A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4C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2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A7785B"/>
    <w:multiLevelType w:val="hybridMultilevel"/>
    <w:tmpl w:val="3E90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3440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5BF8"/>
    <w:rsid w:val="0000041A"/>
    <w:rsid w:val="00001A77"/>
    <w:rsid w:val="000025EA"/>
    <w:rsid w:val="000026BC"/>
    <w:rsid w:val="0001049F"/>
    <w:rsid w:val="00012A3A"/>
    <w:rsid w:val="00013EF7"/>
    <w:rsid w:val="000161F2"/>
    <w:rsid w:val="00025864"/>
    <w:rsid w:val="000263E1"/>
    <w:rsid w:val="000265A1"/>
    <w:rsid w:val="00032D0F"/>
    <w:rsid w:val="00037C38"/>
    <w:rsid w:val="00040F22"/>
    <w:rsid w:val="0004136D"/>
    <w:rsid w:val="000458F6"/>
    <w:rsid w:val="00045CBD"/>
    <w:rsid w:val="00046858"/>
    <w:rsid w:val="000532BC"/>
    <w:rsid w:val="00055EBA"/>
    <w:rsid w:val="00057A32"/>
    <w:rsid w:val="00062194"/>
    <w:rsid w:val="00063222"/>
    <w:rsid w:val="0006326C"/>
    <w:rsid w:val="0006331D"/>
    <w:rsid w:val="000669AF"/>
    <w:rsid w:val="00066CA8"/>
    <w:rsid w:val="00067BC9"/>
    <w:rsid w:val="00077921"/>
    <w:rsid w:val="00077E9E"/>
    <w:rsid w:val="00080253"/>
    <w:rsid w:val="0008087F"/>
    <w:rsid w:val="00080F56"/>
    <w:rsid w:val="00081872"/>
    <w:rsid w:val="000827EE"/>
    <w:rsid w:val="00087BE9"/>
    <w:rsid w:val="000901BE"/>
    <w:rsid w:val="000955ED"/>
    <w:rsid w:val="000971D4"/>
    <w:rsid w:val="000A5360"/>
    <w:rsid w:val="000A691A"/>
    <w:rsid w:val="000A774D"/>
    <w:rsid w:val="000B1592"/>
    <w:rsid w:val="000B503B"/>
    <w:rsid w:val="000C0767"/>
    <w:rsid w:val="000C15BC"/>
    <w:rsid w:val="000C162A"/>
    <w:rsid w:val="000C195B"/>
    <w:rsid w:val="000C45BA"/>
    <w:rsid w:val="000D18D7"/>
    <w:rsid w:val="000D42DE"/>
    <w:rsid w:val="000E0D0D"/>
    <w:rsid w:val="000E5D36"/>
    <w:rsid w:val="000E629D"/>
    <w:rsid w:val="000E6D4E"/>
    <w:rsid w:val="000F09F4"/>
    <w:rsid w:val="000F2F65"/>
    <w:rsid w:val="000F6537"/>
    <w:rsid w:val="000F6987"/>
    <w:rsid w:val="000F6FD8"/>
    <w:rsid w:val="0010395A"/>
    <w:rsid w:val="001055FC"/>
    <w:rsid w:val="0010652C"/>
    <w:rsid w:val="001067E6"/>
    <w:rsid w:val="001078D4"/>
    <w:rsid w:val="00114DA1"/>
    <w:rsid w:val="001171E0"/>
    <w:rsid w:val="00120CEA"/>
    <w:rsid w:val="001241FC"/>
    <w:rsid w:val="001259F3"/>
    <w:rsid w:val="00125B1E"/>
    <w:rsid w:val="00126A2A"/>
    <w:rsid w:val="00126CDF"/>
    <w:rsid w:val="0013504A"/>
    <w:rsid w:val="00135D65"/>
    <w:rsid w:val="00135DD1"/>
    <w:rsid w:val="00141C97"/>
    <w:rsid w:val="001548DD"/>
    <w:rsid w:val="00165A3B"/>
    <w:rsid w:val="00167C9C"/>
    <w:rsid w:val="00170E3D"/>
    <w:rsid w:val="00174E20"/>
    <w:rsid w:val="00182229"/>
    <w:rsid w:val="001879B9"/>
    <w:rsid w:val="0019003E"/>
    <w:rsid w:val="001912B9"/>
    <w:rsid w:val="00192BD7"/>
    <w:rsid w:val="00193301"/>
    <w:rsid w:val="001941CF"/>
    <w:rsid w:val="00196525"/>
    <w:rsid w:val="0019666E"/>
    <w:rsid w:val="00196986"/>
    <w:rsid w:val="00196A74"/>
    <w:rsid w:val="001A19F4"/>
    <w:rsid w:val="001A5D94"/>
    <w:rsid w:val="001B1D78"/>
    <w:rsid w:val="001B259A"/>
    <w:rsid w:val="001B26EA"/>
    <w:rsid w:val="001B46BF"/>
    <w:rsid w:val="001B4D10"/>
    <w:rsid w:val="001B541E"/>
    <w:rsid w:val="001B59E6"/>
    <w:rsid w:val="001B614C"/>
    <w:rsid w:val="001C2E3C"/>
    <w:rsid w:val="001C716F"/>
    <w:rsid w:val="001C7620"/>
    <w:rsid w:val="001D0333"/>
    <w:rsid w:val="001D2C88"/>
    <w:rsid w:val="001D733F"/>
    <w:rsid w:val="001E00B9"/>
    <w:rsid w:val="001E1851"/>
    <w:rsid w:val="001E27C5"/>
    <w:rsid w:val="001E61EB"/>
    <w:rsid w:val="001E6654"/>
    <w:rsid w:val="001E6F2D"/>
    <w:rsid w:val="001E74AF"/>
    <w:rsid w:val="001F3074"/>
    <w:rsid w:val="001F3B98"/>
    <w:rsid w:val="001F5623"/>
    <w:rsid w:val="001F57E5"/>
    <w:rsid w:val="001F7330"/>
    <w:rsid w:val="00202BD9"/>
    <w:rsid w:val="00202F47"/>
    <w:rsid w:val="00204715"/>
    <w:rsid w:val="00204C05"/>
    <w:rsid w:val="0020504C"/>
    <w:rsid w:val="00207650"/>
    <w:rsid w:val="00213D18"/>
    <w:rsid w:val="00217684"/>
    <w:rsid w:val="00220117"/>
    <w:rsid w:val="00220781"/>
    <w:rsid w:val="00222791"/>
    <w:rsid w:val="00225B5E"/>
    <w:rsid w:val="00226734"/>
    <w:rsid w:val="00230614"/>
    <w:rsid w:val="0023202A"/>
    <w:rsid w:val="002328F7"/>
    <w:rsid w:val="00233D20"/>
    <w:rsid w:val="00234A91"/>
    <w:rsid w:val="00237807"/>
    <w:rsid w:val="002403B3"/>
    <w:rsid w:val="0024213B"/>
    <w:rsid w:val="00245422"/>
    <w:rsid w:val="0024593F"/>
    <w:rsid w:val="00245D6A"/>
    <w:rsid w:val="002479B6"/>
    <w:rsid w:val="00255FF6"/>
    <w:rsid w:val="00256CCE"/>
    <w:rsid w:val="002573D7"/>
    <w:rsid w:val="002578A4"/>
    <w:rsid w:val="0026062B"/>
    <w:rsid w:val="00264D6C"/>
    <w:rsid w:val="00271FCF"/>
    <w:rsid w:val="002765ED"/>
    <w:rsid w:val="00276837"/>
    <w:rsid w:val="00276D0B"/>
    <w:rsid w:val="0027720C"/>
    <w:rsid w:val="002779D6"/>
    <w:rsid w:val="00280238"/>
    <w:rsid w:val="00280E75"/>
    <w:rsid w:val="0028187B"/>
    <w:rsid w:val="00283277"/>
    <w:rsid w:val="00283FC9"/>
    <w:rsid w:val="002842ED"/>
    <w:rsid w:val="00286AC2"/>
    <w:rsid w:val="00290EB4"/>
    <w:rsid w:val="0029101F"/>
    <w:rsid w:val="00294A8D"/>
    <w:rsid w:val="002956B7"/>
    <w:rsid w:val="002A2D47"/>
    <w:rsid w:val="002A4E40"/>
    <w:rsid w:val="002A4E89"/>
    <w:rsid w:val="002A6C2E"/>
    <w:rsid w:val="002B1CB8"/>
    <w:rsid w:val="002B265B"/>
    <w:rsid w:val="002B56C3"/>
    <w:rsid w:val="002C6247"/>
    <w:rsid w:val="002D3658"/>
    <w:rsid w:val="002D4BFB"/>
    <w:rsid w:val="002D5FE0"/>
    <w:rsid w:val="002D6176"/>
    <w:rsid w:val="002D7957"/>
    <w:rsid w:val="002E1B91"/>
    <w:rsid w:val="002E255D"/>
    <w:rsid w:val="002E4CBA"/>
    <w:rsid w:val="002F47BF"/>
    <w:rsid w:val="002F509D"/>
    <w:rsid w:val="002F5A7A"/>
    <w:rsid w:val="002F5D02"/>
    <w:rsid w:val="002F615B"/>
    <w:rsid w:val="0030212C"/>
    <w:rsid w:val="00302DBC"/>
    <w:rsid w:val="00304633"/>
    <w:rsid w:val="00306533"/>
    <w:rsid w:val="00311AA9"/>
    <w:rsid w:val="00313414"/>
    <w:rsid w:val="00313A2B"/>
    <w:rsid w:val="00314AFE"/>
    <w:rsid w:val="0031687B"/>
    <w:rsid w:val="00321033"/>
    <w:rsid w:val="00321BF9"/>
    <w:rsid w:val="00322AA6"/>
    <w:rsid w:val="003238D2"/>
    <w:rsid w:val="00325E46"/>
    <w:rsid w:val="0032671A"/>
    <w:rsid w:val="00326734"/>
    <w:rsid w:val="0033249C"/>
    <w:rsid w:val="003340E8"/>
    <w:rsid w:val="00343994"/>
    <w:rsid w:val="00346658"/>
    <w:rsid w:val="003467F3"/>
    <w:rsid w:val="00347C18"/>
    <w:rsid w:val="00351AFD"/>
    <w:rsid w:val="003528BD"/>
    <w:rsid w:val="00352BFC"/>
    <w:rsid w:val="00355124"/>
    <w:rsid w:val="00356B0D"/>
    <w:rsid w:val="00356C9B"/>
    <w:rsid w:val="00357835"/>
    <w:rsid w:val="00362B39"/>
    <w:rsid w:val="00367E9B"/>
    <w:rsid w:val="00374AFE"/>
    <w:rsid w:val="0037662C"/>
    <w:rsid w:val="00377245"/>
    <w:rsid w:val="00377360"/>
    <w:rsid w:val="00377956"/>
    <w:rsid w:val="00381028"/>
    <w:rsid w:val="00383783"/>
    <w:rsid w:val="00387113"/>
    <w:rsid w:val="00387F23"/>
    <w:rsid w:val="00394BCE"/>
    <w:rsid w:val="00396F95"/>
    <w:rsid w:val="0039775F"/>
    <w:rsid w:val="003A159C"/>
    <w:rsid w:val="003A164B"/>
    <w:rsid w:val="003A3B1A"/>
    <w:rsid w:val="003A757F"/>
    <w:rsid w:val="003B26FF"/>
    <w:rsid w:val="003B325D"/>
    <w:rsid w:val="003B3277"/>
    <w:rsid w:val="003B333C"/>
    <w:rsid w:val="003B4A73"/>
    <w:rsid w:val="003B4C36"/>
    <w:rsid w:val="003B4F18"/>
    <w:rsid w:val="003C0A4D"/>
    <w:rsid w:val="003C12C2"/>
    <w:rsid w:val="003C2A34"/>
    <w:rsid w:val="003C4CDA"/>
    <w:rsid w:val="003C6750"/>
    <w:rsid w:val="003D5893"/>
    <w:rsid w:val="003D756F"/>
    <w:rsid w:val="003E1F19"/>
    <w:rsid w:val="003E4C6D"/>
    <w:rsid w:val="003E548C"/>
    <w:rsid w:val="003E7CC7"/>
    <w:rsid w:val="003F0FCF"/>
    <w:rsid w:val="003F4B6A"/>
    <w:rsid w:val="00401F4A"/>
    <w:rsid w:val="0040212D"/>
    <w:rsid w:val="0040406D"/>
    <w:rsid w:val="0041363D"/>
    <w:rsid w:val="004145C1"/>
    <w:rsid w:val="00416819"/>
    <w:rsid w:val="00422AD6"/>
    <w:rsid w:val="00422B5A"/>
    <w:rsid w:val="00424C59"/>
    <w:rsid w:val="0043007C"/>
    <w:rsid w:val="00430E86"/>
    <w:rsid w:val="004334A5"/>
    <w:rsid w:val="00434212"/>
    <w:rsid w:val="00434DE5"/>
    <w:rsid w:val="0043540E"/>
    <w:rsid w:val="00441B7E"/>
    <w:rsid w:val="00445651"/>
    <w:rsid w:val="0045088C"/>
    <w:rsid w:val="00453A24"/>
    <w:rsid w:val="00454508"/>
    <w:rsid w:val="004545C9"/>
    <w:rsid w:val="0045660A"/>
    <w:rsid w:val="00457CC9"/>
    <w:rsid w:val="004612BF"/>
    <w:rsid w:val="004617DB"/>
    <w:rsid w:val="00463C82"/>
    <w:rsid w:val="00463EE7"/>
    <w:rsid w:val="00464924"/>
    <w:rsid w:val="00465468"/>
    <w:rsid w:val="00467F6C"/>
    <w:rsid w:val="00474467"/>
    <w:rsid w:val="004744AB"/>
    <w:rsid w:val="004831D6"/>
    <w:rsid w:val="00485516"/>
    <w:rsid w:val="00490E92"/>
    <w:rsid w:val="00497475"/>
    <w:rsid w:val="00497AD4"/>
    <w:rsid w:val="004A402C"/>
    <w:rsid w:val="004B0091"/>
    <w:rsid w:val="004B05B5"/>
    <w:rsid w:val="004B2E9F"/>
    <w:rsid w:val="004B33F9"/>
    <w:rsid w:val="004B3565"/>
    <w:rsid w:val="004C09EA"/>
    <w:rsid w:val="004C0D6C"/>
    <w:rsid w:val="004C0DED"/>
    <w:rsid w:val="004C0E4E"/>
    <w:rsid w:val="004D0C45"/>
    <w:rsid w:val="004D33D9"/>
    <w:rsid w:val="004D3E32"/>
    <w:rsid w:val="004D5992"/>
    <w:rsid w:val="004D75BD"/>
    <w:rsid w:val="004E544D"/>
    <w:rsid w:val="004E5789"/>
    <w:rsid w:val="004E69E4"/>
    <w:rsid w:val="004F07D4"/>
    <w:rsid w:val="004F0BB9"/>
    <w:rsid w:val="004F2C1A"/>
    <w:rsid w:val="005007F7"/>
    <w:rsid w:val="00500C7D"/>
    <w:rsid w:val="00501EC3"/>
    <w:rsid w:val="00502F44"/>
    <w:rsid w:val="00503414"/>
    <w:rsid w:val="005055F9"/>
    <w:rsid w:val="00506B7C"/>
    <w:rsid w:val="0050760F"/>
    <w:rsid w:val="00510060"/>
    <w:rsid w:val="00513EC6"/>
    <w:rsid w:val="00514BEB"/>
    <w:rsid w:val="005163CE"/>
    <w:rsid w:val="00520242"/>
    <w:rsid w:val="00520385"/>
    <w:rsid w:val="00520620"/>
    <w:rsid w:val="00521E8C"/>
    <w:rsid w:val="0052278B"/>
    <w:rsid w:val="00522E80"/>
    <w:rsid w:val="005259FE"/>
    <w:rsid w:val="005265B0"/>
    <w:rsid w:val="005273BD"/>
    <w:rsid w:val="005273DC"/>
    <w:rsid w:val="00532D51"/>
    <w:rsid w:val="0053406B"/>
    <w:rsid w:val="00534083"/>
    <w:rsid w:val="00534E55"/>
    <w:rsid w:val="00536BA9"/>
    <w:rsid w:val="00542C1D"/>
    <w:rsid w:val="0054410A"/>
    <w:rsid w:val="00544A63"/>
    <w:rsid w:val="00546B09"/>
    <w:rsid w:val="005535A0"/>
    <w:rsid w:val="005542B0"/>
    <w:rsid w:val="00555237"/>
    <w:rsid w:val="0055726C"/>
    <w:rsid w:val="00562389"/>
    <w:rsid w:val="005636A4"/>
    <w:rsid w:val="00565E61"/>
    <w:rsid w:val="00567D5D"/>
    <w:rsid w:val="005723FD"/>
    <w:rsid w:val="00572FAD"/>
    <w:rsid w:val="0057315C"/>
    <w:rsid w:val="00573BA1"/>
    <w:rsid w:val="00587D4E"/>
    <w:rsid w:val="00592BE2"/>
    <w:rsid w:val="00594790"/>
    <w:rsid w:val="00595F62"/>
    <w:rsid w:val="005A012B"/>
    <w:rsid w:val="005A080C"/>
    <w:rsid w:val="005A3AEE"/>
    <w:rsid w:val="005A3F06"/>
    <w:rsid w:val="005A61DF"/>
    <w:rsid w:val="005B1913"/>
    <w:rsid w:val="005B393A"/>
    <w:rsid w:val="005C1967"/>
    <w:rsid w:val="005C1DF7"/>
    <w:rsid w:val="005C37F2"/>
    <w:rsid w:val="005C77B9"/>
    <w:rsid w:val="005D2B6C"/>
    <w:rsid w:val="005D2E75"/>
    <w:rsid w:val="005D4146"/>
    <w:rsid w:val="005D56A9"/>
    <w:rsid w:val="005D5CC1"/>
    <w:rsid w:val="005E124D"/>
    <w:rsid w:val="005E17C4"/>
    <w:rsid w:val="005F0DC4"/>
    <w:rsid w:val="005F2AA8"/>
    <w:rsid w:val="005F2FE1"/>
    <w:rsid w:val="005F38A4"/>
    <w:rsid w:val="005F3920"/>
    <w:rsid w:val="005F3A56"/>
    <w:rsid w:val="005F50A4"/>
    <w:rsid w:val="005F5FE8"/>
    <w:rsid w:val="005F76C9"/>
    <w:rsid w:val="00601C97"/>
    <w:rsid w:val="00601D76"/>
    <w:rsid w:val="006116A2"/>
    <w:rsid w:val="00611DEE"/>
    <w:rsid w:val="00614216"/>
    <w:rsid w:val="0061632A"/>
    <w:rsid w:val="00616F68"/>
    <w:rsid w:val="00624EFF"/>
    <w:rsid w:val="0062752B"/>
    <w:rsid w:val="0063110B"/>
    <w:rsid w:val="0063130A"/>
    <w:rsid w:val="0063268F"/>
    <w:rsid w:val="0064206E"/>
    <w:rsid w:val="006420A0"/>
    <w:rsid w:val="00643EF4"/>
    <w:rsid w:val="00645326"/>
    <w:rsid w:val="0064554C"/>
    <w:rsid w:val="00645EAF"/>
    <w:rsid w:val="00646141"/>
    <w:rsid w:val="00650342"/>
    <w:rsid w:val="00652947"/>
    <w:rsid w:val="00662D5C"/>
    <w:rsid w:val="00667815"/>
    <w:rsid w:val="00667AA4"/>
    <w:rsid w:val="00670981"/>
    <w:rsid w:val="0067143C"/>
    <w:rsid w:val="00671988"/>
    <w:rsid w:val="00673F84"/>
    <w:rsid w:val="006759F2"/>
    <w:rsid w:val="00680FA7"/>
    <w:rsid w:val="00684EDD"/>
    <w:rsid w:val="0068572E"/>
    <w:rsid w:val="006870B7"/>
    <w:rsid w:val="006905A1"/>
    <w:rsid w:val="00691688"/>
    <w:rsid w:val="00694C33"/>
    <w:rsid w:val="0069724E"/>
    <w:rsid w:val="006A3554"/>
    <w:rsid w:val="006A5A13"/>
    <w:rsid w:val="006A6734"/>
    <w:rsid w:val="006B0E32"/>
    <w:rsid w:val="006B10D5"/>
    <w:rsid w:val="006B6226"/>
    <w:rsid w:val="006C14B4"/>
    <w:rsid w:val="006C56D2"/>
    <w:rsid w:val="006C59F9"/>
    <w:rsid w:val="006D103E"/>
    <w:rsid w:val="006D370D"/>
    <w:rsid w:val="006D4FC7"/>
    <w:rsid w:val="006D677A"/>
    <w:rsid w:val="006E0619"/>
    <w:rsid w:val="006E0CB7"/>
    <w:rsid w:val="006E1E2F"/>
    <w:rsid w:val="006E67F9"/>
    <w:rsid w:val="006E6AFC"/>
    <w:rsid w:val="006E7AC9"/>
    <w:rsid w:val="006F1503"/>
    <w:rsid w:val="006F5AC0"/>
    <w:rsid w:val="006F5E3F"/>
    <w:rsid w:val="006F6F92"/>
    <w:rsid w:val="0070293A"/>
    <w:rsid w:val="007040D2"/>
    <w:rsid w:val="00706458"/>
    <w:rsid w:val="00707B02"/>
    <w:rsid w:val="00707CD9"/>
    <w:rsid w:val="0071383A"/>
    <w:rsid w:val="007139AC"/>
    <w:rsid w:val="0071449F"/>
    <w:rsid w:val="00714664"/>
    <w:rsid w:val="007170B3"/>
    <w:rsid w:val="0072112E"/>
    <w:rsid w:val="007238A3"/>
    <w:rsid w:val="007261FA"/>
    <w:rsid w:val="00730A6D"/>
    <w:rsid w:val="00731F45"/>
    <w:rsid w:val="0073412E"/>
    <w:rsid w:val="0073417D"/>
    <w:rsid w:val="00734474"/>
    <w:rsid w:val="00735943"/>
    <w:rsid w:val="00736088"/>
    <w:rsid w:val="00737415"/>
    <w:rsid w:val="00742487"/>
    <w:rsid w:val="00744B57"/>
    <w:rsid w:val="00744DC5"/>
    <w:rsid w:val="00745693"/>
    <w:rsid w:val="00747E53"/>
    <w:rsid w:val="00750084"/>
    <w:rsid w:val="0075725F"/>
    <w:rsid w:val="00765B7C"/>
    <w:rsid w:val="00767528"/>
    <w:rsid w:val="00770EBB"/>
    <w:rsid w:val="00776BA0"/>
    <w:rsid w:val="00780C2B"/>
    <w:rsid w:val="00781DB9"/>
    <w:rsid w:val="007822DF"/>
    <w:rsid w:val="00784B88"/>
    <w:rsid w:val="00784DD8"/>
    <w:rsid w:val="0079189B"/>
    <w:rsid w:val="0079670B"/>
    <w:rsid w:val="00797F4E"/>
    <w:rsid w:val="007A2BBA"/>
    <w:rsid w:val="007A333A"/>
    <w:rsid w:val="007B06D1"/>
    <w:rsid w:val="007B1768"/>
    <w:rsid w:val="007B5372"/>
    <w:rsid w:val="007B7DDE"/>
    <w:rsid w:val="007C2E49"/>
    <w:rsid w:val="007C45E9"/>
    <w:rsid w:val="007C4D53"/>
    <w:rsid w:val="007C5538"/>
    <w:rsid w:val="007C5BB6"/>
    <w:rsid w:val="007D0CB3"/>
    <w:rsid w:val="007D2368"/>
    <w:rsid w:val="007D53D7"/>
    <w:rsid w:val="007E6DCD"/>
    <w:rsid w:val="007F0A2E"/>
    <w:rsid w:val="007F1A0C"/>
    <w:rsid w:val="007F3FA1"/>
    <w:rsid w:val="00800ED1"/>
    <w:rsid w:val="0080118F"/>
    <w:rsid w:val="00802110"/>
    <w:rsid w:val="00803878"/>
    <w:rsid w:val="00803968"/>
    <w:rsid w:val="008039C7"/>
    <w:rsid w:val="0080536A"/>
    <w:rsid w:val="00807E99"/>
    <w:rsid w:val="00815238"/>
    <w:rsid w:val="00816DFA"/>
    <w:rsid w:val="00832100"/>
    <w:rsid w:val="008335BB"/>
    <w:rsid w:val="008342F7"/>
    <w:rsid w:val="00834798"/>
    <w:rsid w:val="00835BD5"/>
    <w:rsid w:val="008403E8"/>
    <w:rsid w:val="008425BF"/>
    <w:rsid w:val="0084514E"/>
    <w:rsid w:val="0084729C"/>
    <w:rsid w:val="008512DB"/>
    <w:rsid w:val="00852217"/>
    <w:rsid w:val="00853E0F"/>
    <w:rsid w:val="0085618A"/>
    <w:rsid w:val="00857B22"/>
    <w:rsid w:val="0086115E"/>
    <w:rsid w:val="00873EC3"/>
    <w:rsid w:val="00876C1D"/>
    <w:rsid w:val="00877BA5"/>
    <w:rsid w:val="00881347"/>
    <w:rsid w:val="00882000"/>
    <w:rsid w:val="00884ACE"/>
    <w:rsid w:val="008877E3"/>
    <w:rsid w:val="00891AA7"/>
    <w:rsid w:val="00894545"/>
    <w:rsid w:val="008978E9"/>
    <w:rsid w:val="008A0108"/>
    <w:rsid w:val="008A20AB"/>
    <w:rsid w:val="008A32D4"/>
    <w:rsid w:val="008A47C0"/>
    <w:rsid w:val="008A4F49"/>
    <w:rsid w:val="008A5F0B"/>
    <w:rsid w:val="008A751D"/>
    <w:rsid w:val="008B3F8F"/>
    <w:rsid w:val="008B7315"/>
    <w:rsid w:val="008C0C99"/>
    <w:rsid w:val="008C7399"/>
    <w:rsid w:val="008D27FF"/>
    <w:rsid w:val="008D422D"/>
    <w:rsid w:val="008D4A27"/>
    <w:rsid w:val="008D5B6E"/>
    <w:rsid w:val="008D5F05"/>
    <w:rsid w:val="008E2D60"/>
    <w:rsid w:val="008E4ECA"/>
    <w:rsid w:val="008E6495"/>
    <w:rsid w:val="008E6E32"/>
    <w:rsid w:val="008E7156"/>
    <w:rsid w:val="008F0AA8"/>
    <w:rsid w:val="008F185A"/>
    <w:rsid w:val="008F3A50"/>
    <w:rsid w:val="008F3AE3"/>
    <w:rsid w:val="008F67A5"/>
    <w:rsid w:val="008F7A84"/>
    <w:rsid w:val="00902E9E"/>
    <w:rsid w:val="009036FE"/>
    <w:rsid w:val="00910414"/>
    <w:rsid w:val="00911897"/>
    <w:rsid w:val="00913A4E"/>
    <w:rsid w:val="00913F5A"/>
    <w:rsid w:val="00923DED"/>
    <w:rsid w:val="009247FD"/>
    <w:rsid w:val="00924CA2"/>
    <w:rsid w:val="00927D87"/>
    <w:rsid w:val="00937565"/>
    <w:rsid w:val="00937D4C"/>
    <w:rsid w:val="00943595"/>
    <w:rsid w:val="00950D24"/>
    <w:rsid w:val="00961E47"/>
    <w:rsid w:val="0096459F"/>
    <w:rsid w:val="00964F59"/>
    <w:rsid w:val="009707F8"/>
    <w:rsid w:val="00976CF0"/>
    <w:rsid w:val="0098049C"/>
    <w:rsid w:val="009810A8"/>
    <w:rsid w:val="0098275B"/>
    <w:rsid w:val="009846F8"/>
    <w:rsid w:val="0098567D"/>
    <w:rsid w:val="00992E21"/>
    <w:rsid w:val="00993896"/>
    <w:rsid w:val="009959AC"/>
    <w:rsid w:val="00997067"/>
    <w:rsid w:val="009A12E0"/>
    <w:rsid w:val="009A4B51"/>
    <w:rsid w:val="009A5DAF"/>
    <w:rsid w:val="009B015E"/>
    <w:rsid w:val="009B1C88"/>
    <w:rsid w:val="009B3736"/>
    <w:rsid w:val="009B3892"/>
    <w:rsid w:val="009B3E90"/>
    <w:rsid w:val="009C5501"/>
    <w:rsid w:val="009C5957"/>
    <w:rsid w:val="009C6172"/>
    <w:rsid w:val="009C718D"/>
    <w:rsid w:val="009D0FFC"/>
    <w:rsid w:val="009D1BA7"/>
    <w:rsid w:val="009D5C40"/>
    <w:rsid w:val="009D6F59"/>
    <w:rsid w:val="009D77B9"/>
    <w:rsid w:val="009D7F95"/>
    <w:rsid w:val="009E0A00"/>
    <w:rsid w:val="009E175E"/>
    <w:rsid w:val="009E1901"/>
    <w:rsid w:val="009E1B0D"/>
    <w:rsid w:val="009E7B40"/>
    <w:rsid w:val="009F290A"/>
    <w:rsid w:val="009F4159"/>
    <w:rsid w:val="009F75D6"/>
    <w:rsid w:val="00A00C41"/>
    <w:rsid w:val="00A01057"/>
    <w:rsid w:val="00A02541"/>
    <w:rsid w:val="00A02E83"/>
    <w:rsid w:val="00A104DF"/>
    <w:rsid w:val="00A12D88"/>
    <w:rsid w:val="00A139D6"/>
    <w:rsid w:val="00A22716"/>
    <w:rsid w:val="00A22982"/>
    <w:rsid w:val="00A257B7"/>
    <w:rsid w:val="00A32DEA"/>
    <w:rsid w:val="00A33C36"/>
    <w:rsid w:val="00A34486"/>
    <w:rsid w:val="00A34CB0"/>
    <w:rsid w:val="00A35F2F"/>
    <w:rsid w:val="00A37A9D"/>
    <w:rsid w:val="00A451DF"/>
    <w:rsid w:val="00A45691"/>
    <w:rsid w:val="00A45DA6"/>
    <w:rsid w:val="00A46FA6"/>
    <w:rsid w:val="00A47101"/>
    <w:rsid w:val="00A47189"/>
    <w:rsid w:val="00A475D6"/>
    <w:rsid w:val="00A47977"/>
    <w:rsid w:val="00A5063E"/>
    <w:rsid w:val="00A54898"/>
    <w:rsid w:val="00A559D9"/>
    <w:rsid w:val="00A567B2"/>
    <w:rsid w:val="00A62C22"/>
    <w:rsid w:val="00A73AB5"/>
    <w:rsid w:val="00A73D7D"/>
    <w:rsid w:val="00A75952"/>
    <w:rsid w:val="00A75CF5"/>
    <w:rsid w:val="00A8071C"/>
    <w:rsid w:val="00A820C0"/>
    <w:rsid w:val="00A847B7"/>
    <w:rsid w:val="00A87C46"/>
    <w:rsid w:val="00A87E0A"/>
    <w:rsid w:val="00A909E1"/>
    <w:rsid w:val="00A90E69"/>
    <w:rsid w:val="00A96684"/>
    <w:rsid w:val="00A97B8D"/>
    <w:rsid w:val="00AA12BD"/>
    <w:rsid w:val="00AB4577"/>
    <w:rsid w:val="00AB5DB0"/>
    <w:rsid w:val="00AC02D9"/>
    <w:rsid w:val="00AC1B93"/>
    <w:rsid w:val="00AC1C77"/>
    <w:rsid w:val="00AC3CDB"/>
    <w:rsid w:val="00AC58CD"/>
    <w:rsid w:val="00AC5B45"/>
    <w:rsid w:val="00AD22FE"/>
    <w:rsid w:val="00AD2D7E"/>
    <w:rsid w:val="00AD48EC"/>
    <w:rsid w:val="00AE110C"/>
    <w:rsid w:val="00AE53C2"/>
    <w:rsid w:val="00AE749B"/>
    <w:rsid w:val="00AF1F1E"/>
    <w:rsid w:val="00AF23A0"/>
    <w:rsid w:val="00AF2BC8"/>
    <w:rsid w:val="00AF398C"/>
    <w:rsid w:val="00AF3A23"/>
    <w:rsid w:val="00B00C67"/>
    <w:rsid w:val="00B02423"/>
    <w:rsid w:val="00B0301F"/>
    <w:rsid w:val="00B135FF"/>
    <w:rsid w:val="00B14237"/>
    <w:rsid w:val="00B15A5D"/>
    <w:rsid w:val="00B15B3F"/>
    <w:rsid w:val="00B1665E"/>
    <w:rsid w:val="00B23581"/>
    <w:rsid w:val="00B374E8"/>
    <w:rsid w:val="00B37DFC"/>
    <w:rsid w:val="00B4116E"/>
    <w:rsid w:val="00B43B7F"/>
    <w:rsid w:val="00B43F57"/>
    <w:rsid w:val="00B44051"/>
    <w:rsid w:val="00B50FFF"/>
    <w:rsid w:val="00B52D34"/>
    <w:rsid w:val="00B5451E"/>
    <w:rsid w:val="00B54893"/>
    <w:rsid w:val="00B55BF8"/>
    <w:rsid w:val="00B60656"/>
    <w:rsid w:val="00B6140D"/>
    <w:rsid w:val="00B62FAA"/>
    <w:rsid w:val="00B65C32"/>
    <w:rsid w:val="00B66759"/>
    <w:rsid w:val="00B676F3"/>
    <w:rsid w:val="00B72AFF"/>
    <w:rsid w:val="00B73872"/>
    <w:rsid w:val="00B75A47"/>
    <w:rsid w:val="00B77493"/>
    <w:rsid w:val="00B8038C"/>
    <w:rsid w:val="00B83F15"/>
    <w:rsid w:val="00B84B09"/>
    <w:rsid w:val="00B94B40"/>
    <w:rsid w:val="00B974CB"/>
    <w:rsid w:val="00BA429C"/>
    <w:rsid w:val="00BA48D4"/>
    <w:rsid w:val="00BA6CA6"/>
    <w:rsid w:val="00BA7D5D"/>
    <w:rsid w:val="00BB1ACE"/>
    <w:rsid w:val="00BB404B"/>
    <w:rsid w:val="00BC3DB3"/>
    <w:rsid w:val="00BC66FB"/>
    <w:rsid w:val="00BC7013"/>
    <w:rsid w:val="00BD0BF1"/>
    <w:rsid w:val="00BD3CCA"/>
    <w:rsid w:val="00BD4AB9"/>
    <w:rsid w:val="00BD6071"/>
    <w:rsid w:val="00BD664D"/>
    <w:rsid w:val="00BD667B"/>
    <w:rsid w:val="00BD6CF2"/>
    <w:rsid w:val="00BE6A44"/>
    <w:rsid w:val="00BF06A1"/>
    <w:rsid w:val="00BF2AA7"/>
    <w:rsid w:val="00BF3E3B"/>
    <w:rsid w:val="00BF483B"/>
    <w:rsid w:val="00BF6C6E"/>
    <w:rsid w:val="00C00129"/>
    <w:rsid w:val="00C00985"/>
    <w:rsid w:val="00C045F2"/>
    <w:rsid w:val="00C054CD"/>
    <w:rsid w:val="00C070C7"/>
    <w:rsid w:val="00C07280"/>
    <w:rsid w:val="00C1016C"/>
    <w:rsid w:val="00C10517"/>
    <w:rsid w:val="00C114AD"/>
    <w:rsid w:val="00C1176A"/>
    <w:rsid w:val="00C2085A"/>
    <w:rsid w:val="00C219AF"/>
    <w:rsid w:val="00C21A0C"/>
    <w:rsid w:val="00C21AF6"/>
    <w:rsid w:val="00C25385"/>
    <w:rsid w:val="00C2570B"/>
    <w:rsid w:val="00C25832"/>
    <w:rsid w:val="00C30271"/>
    <w:rsid w:val="00C306DB"/>
    <w:rsid w:val="00C341B1"/>
    <w:rsid w:val="00C34B16"/>
    <w:rsid w:val="00C36B27"/>
    <w:rsid w:val="00C37118"/>
    <w:rsid w:val="00C37F2B"/>
    <w:rsid w:val="00C408EA"/>
    <w:rsid w:val="00C41580"/>
    <w:rsid w:val="00C434C2"/>
    <w:rsid w:val="00C43A9A"/>
    <w:rsid w:val="00C46488"/>
    <w:rsid w:val="00C51A62"/>
    <w:rsid w:val="00C5374D"/>
    <w:rsid w:val="00C54D09"/>
    <w:rsid w:val="00C5697B"/>
    <w:rsid w:val="00C57A1E"/>
    <w:rsid w:val="00C60C11"/>
    <w:rsid w:val="00C61005"/>
    <w:rsid w:val="00C61997"/>
    <w:rsid w:val="00C62BD4"/>
    <w:rsid w:val="00C62E03"/>
    <w:rsid w:val="00C63694"/>
    <w:rsid w:val="00C7108C"/>
    <w:rsid w:val="00C719A3"/>
    <w:rsid w:val="00C72E55"/>
    <w:rsid w:val="00C749D1"/>
    <w:rsid w:val="00C77B92"/>
    <w:rsid w:val="00C8155B"/>
    <w:rsid w:val="00C830A1"/>
    <w:rsid w:val="00C907AC"/>
    <w:rsid w:val="00C90C7D"/>
    <w:rsid w:val="00C94AFF"/>
    <w:rsid w:val="00C97A0D"/>
    <w:rsid w:val="00CA19B9"/>
    <w:rsid w:val="00CA3961"/>
    <w:rsid w:val="00CA492F"/>
    <w:rsid w:val="00CB1491"/>
    <w:rsid w:val="00CB3888"/>
    <w:rsid w:val="00CB587A"/>
    <w:rsid w:val="00CC11B5"/>
    <w:rsid w:val="00CC1EB8"/>
    <w:rsid w:val="00CC21D9"/>
    <w:rsid w:val="00CC4987"/>
    <w:rsid w:val="00CD1078"/>
    <w:rsid w:val="00CD54F9"/>
    <w:rsid w:val="00CD5E3D"/>
    <w:rsid w:val="00CD5F3C"/>
    <w:rsid w:val="00CE0F93"/>
    <w:rsid w:val="00CE18B4"/>
    <w:rsid w:val="00CE1AF0"/>
    <w:rsid w:val="00CE3CAA"/>
    <w:rsid w:val="00CE6145"/>
    <w:rsid w:val="00CF063C"/>
    <w:rsid w:val="00CF151B"/>
    <w:rsid w:val="00CF2B99"/>
    <w:rsid w:val="00D02737"/>
    <w:rsid w:val="00D02A7C"/>
    <w:rsid w:val="00D050DB"/>
    <w:rsid w:val="00D06383"/>
    <w:rsid w:val="00D13611"/>
    <w:rsid w:val="00D1438E"/>
    <w:rsid w:val="00D149B4"/>
    <w:rsid w:val="00D16419"/>
    <w:rsid w:val="00D17992"/>
    <w:rsid w:val="00D17E5E"/>
    <w:rsid w:val="00D207F5"/>
    <w:rsid w:val="00D21CBA"/>
    <w:rsid w:val="00D3107B"/>
    <w:rsid w:val="00D40EA1"/>
    <w:rsid w:val="00D41FE9"/>
    <w:rsid w:val="00D55E76"/>
    <w:rsid w:val="00D574A0"/>
    <w:rsid w:val="00D61FCF"/>
    <w:rsid w:val="00D631DE"/>
    <w:rsid w:val="00D652DA"/>
    <w:rsid w:val="00D66035"/>
    <w:rsid w:val="00D67D39"/>
    <w:rsid w:val="00D71FEA"/>
    <w:rsid w:val="00D7316F"/>
    <w:rsid w:val="00D73D28"/>
    <w:rsid w:val="00D7520E"/>
    <w:rsid w:val="00D75AAD"/>
    <w:rsid w:val="00D7760C"/>
    <w:rsid w:val="00D81887"/>
    <w:rsid w:val="00D81A44"/>
    <w:rsid w:val="00D90A90"/>
    <w:rsid w:val="00D90B12"/>
    <w:rsid w:val="00D90F32"/>
    <w:rsid w:val="00D91364"/>
    <w:rsid w:val="00D913D8"/>
    <w:rsid w:val="00D9373A"/>
    <w:rsid w:val="00DA009B"/>
    <w:rsid w:val="00DA3074"/>
    <w:rsid w:val="00DA40ED"/>
    <w:rsid w:val="00DA51D5"/>
    <w:rsid w:val="00DB36BB"/>
    <w:rsid w:val="00DB6541"/>
    <w:rsid w:val="00DB6DAC"/>
    <w:rsid w:val="00DC0143"/>
    <w:rsid w:val="00DC707C"/>
    <w:rsid w:val="00DC7124"/>
    <w:rsid w:val="00DD3E2F"/>
    <w:rsid w:val="00DD4546"/>
    <w:rsid w:val="00DE1314"/>
    <w:rsid w:val="00DE1F2F"/>
    <w:rsid w:val="00DE2EFD"/>
    <w:rsid w:val="00DE6E1D"/>
    <w:rsid w:val="00DE7BC4"/>
    <w:rsid w:val="00DF239A"/>
    <w:rsid w:val="00DF2B65"/>
    <w:rsid w:val="00DF5804"/>
    <w:rsid w:val="00E008F8"/>
    <w:rsid w:val="00E05EAD"/>
    <w:rsid w:val="00E065C7"/>
    <w:rsid w:val="00E06FA0"/>
    <w:rsid w:val="00E07B80"/>
    <w:rsid w:val="00E10C98"/>
    <w:rsid w:val="00E120CF"/>
    <w:rsid w:val="00E12C8A"/>
    <w:rsid w:val="00E12CB0"/>
    <w:rsid w:val="00E15441"/>
    <w:rsid w:val="00E17343"/>
    <w:rsid w:val="00E24601"/>
    <w:rsid w:val="00E30099"/>
    <w:rsid w:val="00E361E1"/>
    <w:rsid w:val="00E4033C"/>
    <w:rsid w:val="00E428BA"/>
    <w:rsid w:val="00E42D90"/>
    <w:rsid w:val="00E42EC4"/>
    <w:rsid w:val="00E438BF"/>
    <w:rsid w:val="00E44917"/>
    <w:rsid w:val="00E4507E"/>
    <w:rsid w:val="00E50F85"/>
    <w:rsid w:val="00E51C12"/>
    <w:rsid w:val="00E526BE"/>
    <w:rsid w:val="00E5548B"/>
    <w:rsid w:val="00E555F1"/>
    <w:rsid w:val="00E55D0B"/>
    <w:rsid w:val="00E56A21"/>
    <w:rsid w:val="00E574CC"/>
    <w:rsid w:val="00E57C50"/>
    <w:rsid w:val="00E63B88"/>
    <w:rsid w:val="00E674BE"/>
    <w:rsid w:val="00E67F41"/>
    <w:rsid w:val="00E733DB"/>
    <w:rsid w:val="00E734BC"/>
    <w:rsid w:val="00E76470"/>
    <w:rsid w:val="00E84087"/>
    <w:rsid w:val="00E8450B"/>
    <w:rsid w:val="00E84E79"/>
    <w:rsid w:val="00E86A0C"/>
    <w:rsid w:val="00E87A6F"/>
    <w:rsid w:val="00E918E6"/>
    <w:rsid w:val="00E96228"/>
    <w:rsid w:val="00EA0117"/>
    <w:rsid w:val="00EB0800"/>
    <w:rsid w:val="00EB1F4E"/>
    <w:rsid w:val="00EB2506"/>
    <w:rsid w:val="00EB432C"/>
    <w:rsid w:val="00EB4645"/>
    <w:rsid w:val="00EB6200"/>
    <w:rsid w:val="00EC0301"/>
    <w:rsid w:val="00EC2B17"/>
    <w:rsid w:val="00EC50B0"/>
    <w:rsid w:val="00ED02D6"/>
    <w:rsid w:val="00ED13F9"/>
    <w:rsid w:val="00ED2180"/>
    <w:rsid w:val="00ED3314"/>
    <w:rsid w:val="00EE018E"/>
    <w:rsid w:val="00EF4D8C"/>
    <w:rsid w:val="00EF61E4"/>
    <w:rsid w:val="00F02195"/>
    <w:rsid w:val="00F02A06"/>
    <w:rsid w:val="00F05E29"/>
    <w:rsid w:val="00F12E72"/>
    <w:rsid w:val="00F2304C"/>
    <w:rsid w:val="00F325CD"/>
    <w:rsid w:val="00F355F8"/>
    <w:rsid w:val="00F42245"/>
    <w:rsid w:val="00F42943"/>
    <w:rsid w:val="00F46162"/>
    <w:rsid w:val="00F510A2"/>
    <w:rsid w:val="00F5123D"/>
    <w:rsid w:val="00F52BAF"/>
    <w:rsid w:val="00F536D7"/>
    <w:rsid w:val="00F548C7"/>
    <w:rsid w:val="00F54B4C"/>
    <w:rsid w:val="00F6078A"/>
    <w:rsid w:val="00F611DF"/>
    <w:rsid w:val="00F62709"/>
    <w:rsid w:val="00F66E04"/>
    <w:rsid w:val="00F670F2"/>
    <w:rsid w:val="00F70ABF"/>
    <w:rsid w:val="00F7409C"/>
    <w:rsid w:val="00F74E0D"/>
    <w:rsid w:val="00F7596C"/>
    <w:rsid w:val="00F76B53"/>
    <w:rsid w:val="00F80678"/>
    <w:rsid w:val="00F84B79"/>
    <w:rsid w:val="00F86C05"/>
    <w:rsid w:val="00F874A4"/>
    <w:rsid w:val="00F874BD"/>
    <w:rsid w:val="00F95963"/>
    <w:rsid w:val="00F95B90"/>
    <w:rsid w:val="00F97C39"/>
    <w:rsid w:val="00FA0EC6"/>
    <w:rsid w:val="00FA22E1"/>
    <w:rsid w:val="00FA480F"/>
    <w:rsid w:val="00FA6373"/>
    <w:rsid w:val="00FA69E3"/>
    <w:rsid w:val="00FB1694"/>
    <w:rsid w:val="00FB50F5"/>
    <w:rsid w:val="00FB5CE5"/>
    <w:rsid w:val="00FC314E"/>
    <w:rsid w:val="00FC4FDA"/>
    <w:rsid w:val="00FC5890"/>
    <w:rsid w:val="00FC6EF2"/>
    <w:rsid w:val="00FD1112"/>
    <w:rsid w:val="00FD251C"/>
    <w:rsid w:val="00FD263F"/>
    <w:rsid w:val="00FD442E"/>
    <w:rsid w:val="00FD5030"/>
    <w:rsid w:val="00FD76B7"/>
    <w:rsid w:val="00FE1168"/>
    <w:rsid w:val="00FE3CC4"/>
    <w:rsid w:val="00FE6238"/>
    <w:rsid w:val="00FF1E8D"/>
    <w:rsid w:val="00FF4ED0"/>
    <w:rsid w:val="00FF5773"/>
    <w:rsid w:val="00FF72FB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6116A2"/>
    <w:rPr>
      <w:strike w:val="0"/>
      <w:dstrike w:val="0"/>
      <w:color w:val="7D7D7D"/>
      <w:u w:val="none"/>
      <w:effect w:val="none"/>
    </w:rPr>
  </w:style>
  <w:style w:type="table" w:styleId="Jasnecieniowanieakcent5">
    <w:name w:val="Light Shading Accent 5"/>
    <w:basedOn w:val="Standardowy"/>
    <w:uiPriority w:val="60"/>
    <w:rsid w:val="00FF1E8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Jasnecieniowanieakcent11">
    <w:name w:val="Jasne cieniowanie — akcent 11"/>
    <w:basedOn w:val="Standardowy"/>
    <w:uiPriority w:val="60"/>
    <w:rsid w:val="00FF1E8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1">
    <w:name w:val="Jasne cieniowanie1"/>
    <w:basedOn w:val="Standardowy"/>
    <w:uiPriority w:val="60"/>
    <w:rsid w:val="00FF1E8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nyWeb">
    <w:name w:val="Normal (Web)"/>
    <w:basedOn w:val="Normalny"/>
    <w:unhideWhenUsed/>
    <w:rsid w:val="00FF1E8D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E8D"/>
    <w:rPr>
      <w:b/>
      <w:bCs/>
    </w:rPr>
  </w:style>
  <w:style w:type="table" w:customStyle="1" w:styleId="Jasnasiatkaakcent11">
    <w:name w:val="Jasna siatka — akcent 11"/>
    <w:basedOn w:val="Standardowy"/>
    <w:uiPriority w:val="62"/>
    <w:rsid w:val="003B4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3B4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rsid w:val="00503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3414"/>
    <w:rPr>
      <w:rFonts w:ascii="Tahoma" w:hAnsi="Tahoma" w:cs="Tahoma"/>
      <w:sz w:val="16"/>
      <w:szCs w:val="16"/>
      <w:lang w:eastAsia="ar-SA"/>
    </w:rPr>
  </w:style>
  <w:style w:type="table" w:styleId="Tabela-Kolumnowy3">
    <w:name w:val="Table Columns 3"/>
    <w:basedOn w:val="Standardowy"/>
    <w:rsid w:val="00E574CC"/>
    <w:pPr>
      <w:suppressAutoHyphens/>
      <w:overflowPunct w:val="0"/>
      <w:autoSpaceDE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rsid w:val="00080F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0F5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0F56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8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0F56"/>
    <w:rPr>
      <w:b/>
      <w:bCs/>
    </w:rPr>
  </w:style>
  <w:style w:type="paragraph" w:styleId="Tekstprzypisudolnego">
    <w:name w:val="footnote text"/>
    <w:basedOn w:val="Normalny"/>
    <w:link w:val="TekstprzypisudolnegoZnak"/>
    <w:rsid w:val="00C2583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32"/>
    <w:rPr>
      <w:rFonts w:ascii="Arial" w:hAnsi="Arial"/>
      <w:lang w:eastAsia="ar-SA"/>
    </w:rPr>
  </w:style>
  <w:style w:type="character" w:styleId="Odwoanieprzypisudolnego">
    <w:name w:val="footnote reference"/>
    <w:basedOn w:val="Domylnaczcionkaakapitu"/>
    <w:rsid w:val="00C258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75F"/>
    <w:pPr>
      <w:ind w:left="720"/>
      <w:contextualSpacing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0955ED"/>
    <w:rPr>
      <w:rFonts w:ascii="Times" w:hAnsi="Times" w:cs="Times"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4"/>
    <w:rsid w:val="000955ED"/>
    <w:pPr>
      <w:suppressAutoHyphens w:val="0"/>
      <w:overflowPunct/>
      <w:autoSpaceDN w:val="0"/>
      <w:spacing w:before="120" w:line="360" w:lineRule="auto"/>
      <w:ind w:firstLine="510"/>
      <w:jc w:val="both"/>
    </w:pPr>
    <w:rPr>
      <w:rFonts w:ascii="Times" w:hAnsi="Times" w:cs="Times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bieski.org.pl/ekspertyza-akcyza-201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pp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3FC7-0D18-459E-86A6-F676BAA7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 Spoż. Krajowa Rada Przetwórstwa Spirytusu</Company>
  <LinksUpToDate>false</LinksUpToDate>
  <CharactersWithSpaces>6198</CharactersWithSpaces>
  <SharedDoc>false</SharedDoc>
  <HLinks>
    <vt:vector size="6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http://www.pps.waw.pl/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Tomasik</dc:creator>
  <cp:lastModifiedBy>Iga Wasilewicz</cp:lastModifiedBy>
  <cp:revision>16</cp:revision>
  <cp:lastPrinted>2014-07-18T08:36:00Z</cp:lastPrinted>
  <dcterms:created xsi:type="dcterms:W3CDTF">2015-03-27T16:00:00Z</dcterms:created>
  <dcterms:modified xsi:type="dcterms:W3CDTF">2015-03-31T15:58:00Z</dcterms:modified>
</cp:coreProperties>
</file>