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C" w:rsidRPr="00377360" w:rsidRDefault="0098049C" w:rsidP="00F2304C">
      <w:pPr>
        <w:rPr>
          <w:rFonts w:cs="Arial"/>
        </w:rPr>
      </w:pPr>
      <w:r>
        <w:rPr>
          <w:rFonts w:cs="Arial"/>
          <w:noProof/>
          <w:color w:val="808080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10883</wp:posOffset>
            </wp:positionH>
            <wp:positionV relativeFrom="paragraph">
              <wp:posOffset>-104864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EC6" w:rsidRPr="00377360" w:rsidRDefault="00513EC6" w:rsidP="00F2304C">
      <w:pPr>
        <w:rPr>
          <w:rFonts w:cs="Arial"/>
          <w:color w:val="808080"/>
        </w:rPr>
      </w:pPr>
    </w:p>
    <w:p w:rsidR="00513EC6" w:rsidRPr="00377360" w:rsidRDefault="00513EC6" w:rsidP="00513EC6">
      <w:pPr>
        <w:rPr>
          <w:rFonts w:cs="Arial"/>
        </w:rPr>
      </w:pPr>
    </w:p>
    <w:p w:rsidR="00FB50F5" w:rsidRPr="00377360" w:rsidRDefault="00FB50F5" w:rsidP="00283277">
      <w:pPr>
        <w:tabs>
          <w:tab w:val="left" w:pos="1830"/>
        </w:tabs>
        <w:jc w:val="right"/>
        <w:rPr>
          <w:rFonts w:cs="Arial"/>
          <w:color w:val="808080"/>
        </w:rPr>
      </w:pPr>
    </w:p>
    <w:p w:rsidR="002D4BFB" w:rsidRDefault="00616F68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 xml:space="preserve">                         </w:t>
      </w:r>
      <w:r w:rsidR="00DF5804">
        <w:rPr>
          <w:rFonts w:cs="Arial"/>
          <w:color w:val="808080"/>
          <w:sz w:val="20"/>
        </w:rPr>
        <w:tab/>
      </w:r>
      <w:r w:rsidR="00DF5804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8A20AB">
        <w:rPr>
          <w:rFonts w:cs="Arial"/>
          <w:color w:val="808080"/>
          <w:sz w:val="20"/>
        </w:rPr>
        <w:t xml:space="preserve">                   </w:t>
      </w:r>
    </w:p>
    <w:p w:rsidR="00D7760C" w:rsidRDefault="00BD4AB9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 xml:space="preserve">Warszawa, </w:t>
      </w:r>
      <w:r w:rsidR="002C2546">
        <w:rPr>
          <w:rFonts w:cs="Arial"/>
          <w:color w:val="808080"/>
          <w:sz w:val="20"/>
        </w:rPr>
        <w:t>24</w:t>
      </w:r>
      <w:r w:rsidR="00492D29">
        <w:rPr>
          <w:rFonts w:cs="Arial"/>
          <w:color w:val="808080"/>
          <w:sz w:val="20"/>
        </w:rPr>
        <w:t>.0</w:t>
      </w:r>
      <w:r w:rsidR="00477D4F">
        <w:rPr>
          <w:rFonts w:cs="Arial"/>
          <w:color w:val="808080"/>
          <w:sz w:val="20"/>
        </w:rPr>
        <w:t>2</w:t>
      </w:r>
      <w:r w:rsidR="00752480">
        <w:rPr>
          <w:rFonts w:cs="Arial"/>
          <w:color w:val="808080"/>
          <w:sz w:val="20"/>
        </w:rPr>
        <w:t>.</w:t>
      </w:r>
      <w:r w:rsidR="00E02F9F">
        <w:rPr>
          <w:rFonts w:cs="Arial"/>
          <w:color w:val="808080"/>
          <w:sz w:val="20"/>
        </w:rPr>
        <w:t>2016</w:t>
      </w:r>
      <w:r w:rsidR="006116A2" w:rsidRPr="00377360">
        <w:rPr>
          <w:rFonts w:cs="Arial"/>
          <w:color w:val="808080"/>
          <w:sz w:val="20"/>
        </w:rPr>
        <w:t xml:space="preserve"> r.</w:t>
      </w:r>
    </w:p>
    <w:p w:rsidR="00E733DB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</w:p>
    <w:p w:rsidR="00811BD2" w:rsidRPr="003714E6" w:rsidRDefault="00E733DB" w:rsidP="003714E6">
      <w:pPr>
        <w:tabs>
          <w:tab w:val="left" w:pos="1830"/>
        </w:tabs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>INFORMACJA PRASOWA</w:t>
      </w:r>
    </w:p>
    <w:p w:rsidR="00671DA1" w:rsidRDefault="00671DA1" w:rsidP="006333A5">
      <w:pPr>
        <w:rPr>
          <w:rFonts w:cs="Arial"/>
          <w:b/>
          <w:color w:val="FF0000"/>
          <w:szCs w:val="24"/>
        </w:rPr>
      </w:pPr>
    </w:p>
    <w:p w:rsidR="001D733F" w:rsidRPr="005723FD" w:rsidRDefault="00E02F9F" w:rsidP="00AC3CDB">
      <w:pPr>
        <w:jc w:val="center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Podsumowanie 2015 r. w branży spirytusowej</w:t>
      </w:r>
    </w:p>
    <w:p w:rsidR="00AC3CDB" w:rsidRPr="005723FD" w:rsidRDefault="00AC3CDB" w:rsidP="00B6571B">
      <w:pPr>
        <w:jc w:val="both"/>
        <w:rPr>
          <w:rFonts w:cs="Arial"/>
          <w:b/>
          <w:sz w:val="22"/>
          <w:szCs w:val="24"/>
        </w:rPr>
      </w:pPr>
    </w:p>
    <w:p w:rsidR="003E1231" w:rsidRDefault="002C4D7C" w:rsidP="00231554">
      <w:pPr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>U</w:t>
      </w:r>
      <w:r w:rsidR="002F4C0C">
        <w:rPr>
          <w:rFonts w:cs="Arial"/>
          <w:b/>
          <w:color w:val="000000"/>
          <w:sz w:val="20"/>
          <w:szCs w:val="22"/>
        </w:rPr>
        <w:t>biegły rok przedsiębiorcy wyrobów spirytusowych zaliczą do umiarkowanie udanych. Wyhamował</w:t>
      </w:r>
      <w:r w:rsidR="00F72049">
        <w:rPr>
          <w:rFonts w:cs="Arial"/>
          <w:b/>
          <w:color w:val="000000"/>
          <w:sz w:val="20"/>
          <w:szCs w:val="22"/>
        </w:rPr>
        <w:t>y spadki</w:t>
      </w:r>
      <w:r w:rsidR="002F4C0C">
        <w:rPr>
          <w:rFonts w:cs="Arial"/>
          <w:b/>
          <w:color w:val="000000"/>
          <w:sz w:val="20"/>
          <w:szCs w:val="22"/>
        </w:rPr>
        <w:t xml:space="preserve"> w produkcji i sprzedaż</w:t>
      </w:r>
      <w:r>
        <w:rPr>
          <w:rFonts w:cs="Arial"/>
          <w:b/>
          <w:color w:val="000000"/>
          <w:sz w:val="20"/>
          <w:szCs w:val="22"/>
        </w:rPr>
        <w:t>y</w:t>
      </w:r>
      <w:r w:rsidR="002F4C0C">
        <w:rPr>
          <w:rFonts w:cs="Arial"/>
          <w:b/>
          <w:color w:val="000000"/>
          <w:sz w:val="20"/>
          <w:szCs w:val="22"/>
        </w:rPr>
        <w:t xml:space="preserve"> wódki na rynku krajowym.</w:t>
      </w:r>
      <w:r>
        <w:rPr>
          <w:rFonts w:cs="Arial"/>
          <w:b/>
          <w:color w:val="000000"/>
          <w:sz w:val="20"/>
          <w:szCs w:val="22"/>
        </w:rPr>
        <w:t xml:space="preserve"> Produkcja</w:t>
      </w:r>
      <w:r w:rsidR="002F4C0C">
        <w:rPr>
          <w:rFonts w:cs="Arial"/>
          <w:b/>
          <w:color w:val="000000"/>
          <w:sz w:val="20"/>
          <w:szCs w:val="22"/>
        </w:rPr>
        <w:t xml:space="preserve"> nie wróciła jednak do poziomów sprzed podwyżki akcyzy. Martwi zatrzymanie </w:t>
      </w:r>
      <w:r>
        <w:rPr>
          <w:rFonts w:cs="Arial"/>
          <w:b/>
          <w:color w:val="000000"/>
          <w:sz w:val="20"/>
          <w:szCs w:val="22"/>
        </w:rPr>
        <w:t xml:space="preserve">rozwoju </w:t>
      </w:r>
      <w:r w:rsidR="002F4C0C">
        <w:rPr>
          <w:rFonts w:cs="Arial"/>
          <w:b/>
          <w:color w:val="000000"/>
          <w:sz w:val="20"/>
          <w:szCs w:val="22"/>
        </w:rPr>
        <w:t>eksportu</w:t>
      </w:r>
      <w:r>
        <w:rPr>
          <w:rFonts w:cs="Arial"/>
          <w:b/>
          <w:color w:val="000000"/>
          <w:sz w:val="20"/>
          <w:szCs w:val="22"/>
        </w:rPr>
        <w:t xml:space="preserve"> i potencjalny wzrost szarej strefy</w:t>
      </w:r>
      <w:r w:rsidR="002F4C0C">
        <w:rPr>
          <w:rFonts w:cs="Arial"/>
          <w:b/>
          <w:color w:val="000000"/>
          <w:sz w:val="20"/>
          <w:szCs w:val="22"/>
        </w:rPr>
        <w:t>. Przedsiębiorcy wskazują, że przy wysokich obciążeniach i niskiej rentowności w kraju, trudno inwestować w promocję zagraniczną.</w:t>
      </w:r>
    </w:p>
    <w:p w:rsidR="002C4D7C" w:rsidRPr="002C4D7C" w:rsidRDefault="002C4D7C" w:rsidP="00231554">
      <w:pPr>
        <w:jc w:val="both"/>
        <w:rPr>
          <w:rFonts w:cs="Arial"/>
          <w:b/>
          <w:color w:val="000000"/>
          <w:sz w:val="20"/>
          <w:szCs w:val="22"/>
        </w:rPr>
      </w:pPr>
    </w:p>
    <w:p w:rsidR="00F76DAD" w:rsidRPr="00234539" w:rsidRDefault="00710EEC" w:rsidP="00231554">
      <w:pPr>
        <w:jc w:val="both"/>
        <w:rPr>
          <w:rFonts w:cs="Arial"/>
          <w:b/>
          <w:color w:val="000000"/>
          <w:sz w:val="20"/>
          <w:szCs w:val="22"/>
        </w:rPr>
      </w:pPr>
      <w:r w:rsidRPr="00F76DAD">
        <w:rPr>
          <w:rFonts w:cs="Arial"/>
          <w:b/>
          <w:color w:val="000000"/>
          <w:sz w:val="20"/>
          <w:szCs w:val="22"/>
        </w:rPr>
        <w:t>Produkcja wciąż niska</w:t>
      </w:r>
    </w:p>
    <w:p w:rsidR="00752480" w:rsidRDefault="003E1231" w:rsidP="00231554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W 2015 r. utrzymywała się niższa produkcja </w:t>
      </w:r>
      <w:r w:rsidR="00F45A83">
        <w:rPr>
          <w:rFonts w:cs="Arial"/>
          <w:color w:val="000000"/>
          <w:sz w:val="20"/>
        </w:rPr>
        <w:t>napojów</w:t>
      </w:r>
      <w:r>
        <w:rPr>
          <w:rFonts w:cs="Arial"/>
          <w:color w:val="000000"/>
          <w:sz w:val="20"/>
        </w:rPr>
        <w:t xml:space="preserve"> spirytusowych</w:t>
      </w:r>
      <w:r w:rsidR="002F4C0C">
        <w:rPr>
          <w:rFonts w:cs="Arial"/>
          <w:color w:val="000000"/>
          <w:sz w:val="20"/>
        </w:rPr>
        <w:t>, przy lekkich wzrostach w produkcji pozostałych kategorii alkoholi</w:t>
      </w:r>
      <w:r w:rsidR="00710EEC">
        <w:rPr>
          <w:rFonts w:cs="Arial"/>
          <w:color w:val="000000"/>
          <w:sz w:val="20"/>
        </w:rPr>
        <w:t xml:space="preserve">. </w:t>
      </w:r>
      <w:r w:rsidR="007A5E27">
        <w:rPr>
          <w:rFonts w:cs="Arial"/>
          <w:color w:val="000000"/>
          <w:sz w:val="20"/>
        </w:rPr>
        <w:t>Z</w:t>
      </w:r>
      <w:r w:rsidR="00710EEC">
        <w:rPr>
          <w:rFonts w:cs="Arial"/>
          <w:color w:val="000000"/>
          <w:sz w:val="20"/>
        </w:rPr>
        <w:t xml:space="preserve">akłady </w:t>
      </w:r>
      <w:r w:rsidR="002F4C0C">
        <w:rPr>
          <w:rFonts w:cs="Arial"/>
          <w:color w:val="000000"/>
          <w:sz w:val="20"/>
        </w:rPr>
        <w:t xml:space="preserve">spirytusowe </w:t>
      </w:r>
      <w:r w:rsidR="006B1913">
        <w:rPr>
          <w:rFonts w:cs="Arial"/>
          <w:color w:val="000000"/>
          <w:sz w:val="20"/>
        </w:rPr>
        <w:t xml:space="preserve">w Polsce </w:t>
      </w:r>
      <w:r w:rsidR="00710EEC">
        <w:rPr>
          <w:rFonts w:cs="Arial"/>
          <w:color w:val="000000"/>
          <w:sz w:val="20"/>
        </w:rPr>
        <w:t xml:space="preserve">wytworzyły </w:t>
      </w:r>
      <w:r w:rsidR="00835C0D">
        <w:rPr>
          <w:rFonts w:cs="Arial"/>
          <w:color w:val="000000"/>
          <w:sz w:val="20"/>
        </w:rPr>
        <w:t>12</w:t>
      </w:r>
      <w:r w:rsidR="002F4C0C">
        <w:rPr>
          <w:rFonts w:cs="Arial"/>
          <w:color w:val="000000"/>
          <w:sz w:val="20"/>
        </w:rPr>
        <w:t>% mniej wyrobów niż w 2012</w:t>
      </w:r>
      <w:r w:rsidR="00F45A83">
        <w:rPr>
          <w:rFonts w:cs="Arial"/>
          <w:color w:val="000000"/>
          <w:sz w:val="20"/>
        </w:rPr>
        <w:t xml:space="preserve"> r.</w:t>
      </w:r>
      <w:r w:rsidR="002F4C0C">
        <w:rPr>
          <w:rFonts w:cs="Arial"/>
          <w:color w:val="000000"/>
          <w:sz w:val="20"/>
        </w:rPr>
        <w:t>, czyli</w:t>
      </w:r>
      <w:r w:rsidR="00F45A83">
        <w:rPr>
          <w:rFonts w:cs="Arial"/>
          <w:color w:val="000000"/>
          <w:sz w:val="20"/>
        </w:rPr>
        <w:t xml:space="preserve"> </w:t>
      </w:r>
      <w:r w:rsidR="002F4C0C">
        <w:rPr>
          <w:rFonts w:cs="Arial"/>
          <w:color w:val="000000"/>
          <w:sz w:val="20"/>
        </w:rPr>
        <w:t xml:space="preserve">przed zawirowaniami na rynku związanymi z podwyżką akcyzy na mocne alkohole wprowadzoną </w:t>
      </w:r>
      <w:r w:rsidR="00835C0D">
        <w:rPr>
          <w:rFonts w:cs="Arial"/>
          <w:color w:val="000000"/>
          <w:sz w:val="20"/>
        </w:rPr>
        <w:br/>
      </w:r>
      <w:r w:rsidR="002F4C0C">
        <w:rPr>
          <w:rFonts w:cs="Arial"/>
          <w:color w:val="000000"/>
          <w:sz w:val="20"/>
        </w:rPr>
        <w:t>1 stycznia 2014 r.</w:t>
      </w:r>
      <w:r w:rsidR="006B1913">
        <w:rPr>
          <w:rFonts w:cs="Arial"/>
          <w:color w:val="000000"/>
          <w:sz w:val="20"/>
        </w:rPr>
        <w:t xml:space="preserve"> Zdecydowana większość dostaw pochodzi z produkcji krajowej, im</w:t>
      </w:r>
      <w:r w:rsidR="00835C0D">
        <w:rPr>
          <w:rFonts w:cs="Arial"/>
          <w:color w:val="000000"/>
          <w:sz w:val="20"/>
        </w:rPr>
        <w:t xml:space="preserve">port ma relatywnie mały udział </w:t>
      </w:r>
      <w:r w:rsidR="006B1913">
        <w:rPr>
          <w:rFonts w:cs="Arial"/>
          <w:color w:val="000000"/>
          <w:sz w:val="20"/>
        </w:rPr>
        <w:t>w podaży napojów spirytusowych (7%).</w:t>
      </w:r>
    </w:p>
    <w:p w:rsidR="002F4C0C" w:rsidRDefault="002F4C0C" w:rsidP="00231554">
      <w:pPr>
        <w:jc w:val="both"/>
        <w:rPr>
          <w:rFonts w:cs="Arial"/>
          <w:color w:val="000000"/>
          <w:sz w:val="20"/>
        </w:rPr>
      </w:pPr>
    </w:p>
    <w:p w:rsidR="00752480" w:rsidRPr="00752480" w:rsidRDefault="00752480" w:rsidP="00231554">
      <w:pPr>
        <w:jc w:val="center"/>
        <w:rPr>
          <w:rFonts w:cs="Arial"/>
          <w:b/>
          <w:color w:val="000000"/>
          <w:sz w:val="18"/>
        </w:rPr>
      </w:pPr>
      <w:r w:rsidRPr="00752480">
        <w:rPr>
          <w:rFonts w:cs="Arial"/>
          <w:b/>
          <w:color w:val="000000"/>
          <w:sz w:val="18"/>
        </w:rPr>
        <w:t>Produkcj</w:t>
      </w:r>
      <w:r w:rsidR="007A5E27">
        <w:rPr>
          <w:rFonts w:cs="Arial"/>
          <w:b/>
          <w:color w:val="000000"/>
          <w:sz w:val="18"/>
        </w:rPr>
        <w:t>a napojów alkoholowych w 2015 r.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1276"/>
        <w:gridCol w:w="1276"/>
        <w:gridCol w:w="1558"/>
      </w:tblGrid>
      <w:tr w:rsidR="00752480" w:rsidRPr="002D1BB6" w:rsidTr="00F061AE">
        <w:trPr>
          <w:trHeight w:val="616"/>
          <w:jc w:val="center"/>
        </w:trPr>
        <w:tc>
          <w:tcPr>
            <w:tcW w:w="675" w:type="dxa"/>
          </w:tcPr>
          <w:p w:rsidR="00752480" w:rsidRPr="002D1BB6" w:rsidRDefault="00752480" w:rsidP="00231554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52480" w:rsidRPr="002D1BB6" w:rsidRDefault="00752480" w:rsidP="00231554">
            <w:pPr>
              <w:jc w:val="both"/>
              <w:rPr>
                <w:rFonts w:cs="Arial"/>
                <w:color w:val="000000"/>
                <w:sz w:val="20"/>
              </w:rPr>
            </w:pPr>
            <w:r w:rsidRPr="002D1BB6">
              <w:rPr>
                <w:rFonts w:cs="Arial"/>
                <w:color w:val="000000"/>
                <w:sz w:val="20"/>
              </w:rPr>
              <w:t>Piwo</w:t>
            </w:r>
            <w:r w:rsidR="00B8644C" w:rsidRPr="002D1BB6">
              <w:rPr>
                <w:rFonts w:cs="Arial"/>
                <w:color w:val="000000"/>
                <w:sz w:val="20"/>
              </w:rPr>
              <w:t xml:space="preserve"> </w:t>
            </w:r>
            <w:r w:rsidR="00B8644C" w:rsidRPr="002D1BB6">
              <w:rPr>
                <w:rFonts w:cs="Arial"/>
                <w:color w:val="000000"/>
                <w:sz w:val="20"/>
              </w:rPr>
              <w:br/>
              <w:t>(w tys.</w:t>
            </w:r>
            <w:r w:rsidR="007A5E27" w:rsidRPr="002D1BB6">
              <w:rPr>
                <w:rFonts w:cs="Arial"/>
                <w:color w:val="000000"/>
                <w:sz w:val="20"/>
              </w:rPr>
              <w:t xml:space="preserve"> </w:t>
            </w:r>
            <w:r w:rsidR="009E3474" w:rsidRPr="002D1BB6">
              <w:rPr>
                <w:rFonts w:cs="Arial"/>
                <w:color w:val="000000"/>
                <w:sz w:val="20"/>
              </w:rPr>
              <w:t>h</w:t>
            </w:r>
            <w:r w:rsidR="007A5E27" w:rsidRPr="002D1BB6">
              <w:rPr>
                <w:rFonts w:cs="Arial"/>
                <w:color w:val="000000"/>
                <w:sz w:val="20"/>
              </w:rPr>
              <w:t>l)</w:t>
            </w:r>
          </w:p>
        </w:tc>
        <w:tc>
          <w:tcPr>
            <w:tcW w:w="1276" w:type="dxa"/>
          </w:tcPr>
          <w:p w:rsidR="00752480" w:rsidRPr="002D1BB6" w:rsidRDefault="00A874CE" w:rsidP="00231554">
            <w:pPr>
              <w:jc w:val="both"/>
              <w:rPr>
                <w:rFonts w:cs="Arial"/>
                <w:color w:val="000000"/>
                <w:sz w:val="20"/>
              </w:rPr>
            </w:pPr>
            <w:r w:rsidRPr="002D1BB6">
              <w:rPr>
                <w:rFonts w:cs="Arial"/>
                <w:color w:val="000000"/>
                <w:sz w:val="20"/>
              </w:rPr>
              <w:t>Wyroby winiarskie</w:t>
            </w:r>
            <w:r w:rsidR="007A5E27" w:rsidRPr="002D1BB6">
              <w:rPr>
                <w:rFonts w:cs="Arial"/>
                <w:color w:val="000000"/>
                <w:sz w:val="20"/>
              </w:rPr>
              <w:t xml:space="preserve"> </w:t>
            </w:r>
            <w:r w:rsidR="007A5E27" w:rsidRPr="002D1BB6">
              <w:rPr>
                <w:rFonts w:cs="Arial"/>
                <w:color w:val="000000"/>
                <w:sz w:val="20"/>
              </w:rPr>
              <w:br/>
              <w:t>(w tys. hl)</w:t>
            </w:r>
          </w:p>
        </w:tc>
        <w:tc>
          <w:tcPr>
            <w:tcW w:w="1558" w:type="dxa"/>
          </w:tcPr>
          <w:p w:rsidR="00752480" w:rsidRPr="002D1BB6" w:rsidRDefault="00211A1D" w:rsidP="00B53199">
            <w:pPr>
              <w:jc w:val="both"/>
              <w:rPr>
                <w:rFonts w:cs="Arial"/>
                <w:color w:val="000000"/>
                <w:sz w:val="20"/>
              </w:rPr>
            </w:pPr>
            <w:r w:rsidRPr="002D1BB6">
              <w:rPr>
                <w:rFonts w:cs="Arial"/>
                <w:color w:val="000000"/>
                <w:sz w:val="20"/>
              </w:rPr>
              <w:t>Napoje spirytusowe</w:t>
            </w:r>
            <w:r w:rsidR="00E127C8" w:rsidRPr="002D1BB6">
              <w:rPr>
                <w:rFonts w:cs="Arial"/>
                <w:color w:val="000000"/>
                <w:sz w:val="20"/>
              </w:rPr>
              <w:t xml:space="preserve"> </w:t>
            </w:r>
            <w:r w:rsidR="00F061AE" w:rsidRPr="002D1BB6">
              <w:rPr>
                <w:rFonts w:cs="Arial"/>
                <w:color w:val="000000"/>
                <w:sz w:val="20"/>
              </w:rPr>
              <w:br/>
            </w:r>
            <w:r w:rsidR="00E127C8" w:rsidRPr="002D1BB6">
              <w:rPr>
                <w:rFonts w:cs="Arial"/>
                <w:color w:val="000000"/>
                <w:sz w:val="20"/>
              </w:rPr>
              <w:t xml:space="preserve">(w tys. </w:t>
            </w:r>
            <w:r w:rsidR="00B53199" w:rsidRPr="002D1BB6">
              <w:rPr>
                <w:rFonts w:cs="Arial"/>
                <w:color w:val="000000"/>
                <w:sz w:val="20"/>
              </w:rPr>
              <w:t>hl</w:t>
            </w:r>
            <w:r w:rsidR="00F061AE" w:rsidRPr="002D1BB6">
              <w:rPr>
                <w:rFonts w:cs="Arial"/>
                <w:color w:val="000000"/>
                <w:sz w:val="20"/>
              </w:rPr>
              <w:t>)</w:t>
            </w:r>
          </w:p>
        </w:tc>
      </w:tr>
      <w:tr w:rsidR="00B53199" w:rsidRPr="00F061AE" w:rsidTr="00F061AE">
        <w:trPr>
          <w:jc w:val="center"/>
        </w:trPr>
        <w:tc>
          <w:tcPr>
            <w:tcW w:w="675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2011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3789</w:t>
            </w:r>
            <w:r w:rsidR="009E3474"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1719</w:t>
            </w:r>
          </w:p>
        </w:tc>
        <w:tc>
          <w:tcPr>
            <w:tcW w:w="1558" w:type="dxa"/>
            <w:vAlign w:val="bottom"/>
          </w:tcPr>
          <w:p w:rsidR="00B53199" w:rsidRDefault="00B53199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3250</w:t>
            </w:r>
          </w:p>
        </w:tc>
      </w:tr>
      <w:tr w:rsidR="00B53199" w:rsidRPr="00F061AE" w:rsidTr="00F061AE">
        <w:trPr>
          <w:jc w:val="center"/>
        </w:trPr>
        <w:tc>
          <w:tcPr>
            <w:tcW w:w="675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2012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3961</w:t>
            </w:r>
            <w:r w:rsidR="009E3474"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1508</w:t>
            </w:r>
          </w:p>
        </w:tc>
        <w:tc>
          <w:tcPr>
            <w:tcW w:w="1558" w:type="dxa"/>
            <w:vAlign w:val="bottom"/>
          </w:tcPr>
          <w:p w:rsidR="00B53199" w:rsidRDefault="00B53199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3208</w:t>
            </w:r>
          </w:p>
        </w:tc>
      </w:tr>
      <w:tr w:rsidR="00B53199" w:rsidRPr="00F061AE" w:rsidTr="00F061AE">
        <w:trPr>
          <w:jc w:val="center"/>
        </w:trPr>
        <w:tc>
          <w:tcPr>
            <w:tcW w:w="675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2013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4000</w:t>
            </w:r>
            <w:r w:rsidR="009E3474"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</w:tcPr>
          <w:p w:rsidR="00B53199" w:rsidRPr="00F061AE" w:rsidRDefault="00B53199" w:rsidP="00E127C8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1563</w:t>
            </w:r>
          </w:p>
        </w:tc>
        <w:tc>
          <w:tcPr>
            <w:tcW w:w="1558" w:type="dxa"/>
            <w:vAlign w:val="bottom"/>
          </w:tcPr>
          <w:p w:rsidR="00B53199" w:rsidRDefault="00B53199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3545</w:t>
            </w:r>
          </w:p>
        </w:tc>
      </w:tr>
      <w:tr w:rsidR="00B53199" w:rsidRPr="00F061AE" w:rsidTr="00F061AE">
        <w:trPr>
          <w:jc w:val="center"/>
        </w:trPr>
        <w:tc>
          <w:tcPr>
            <w:tcW w:w="675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2014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4008</w:t>
            </w:r>
            <w:r w:rsidR="009E3474"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</w:tcPr>
          <w:p w:rsidR="00B53199" w:rsidRPr="00F061AE" w:rsidRDefault="00B53199" w:rsidP="00E127C8">
            <w:pPr>
              <w:jc w:val="both"/>
              <w:rPr>
                <w:rFonts w:cs="Arial"/>
                <w:sz w:val="20"/>
              </w:rPr>
            </w:pPr>
            <w:r w:rsidRPr="00F061AE">
              <w:rPr>
                <w:rFonts w:cs="Arial"/>
                <w:sz w:val="20"/>
              </w:rPr>
              <w:t>1547</w:t>
            </w:r>
          </w:p>
        </w:tc>
        <w:tc>
          <w:tcPr>
            <w:tcW w:w="1558" w:type="dxa"/>
            <w:vAlign w:val="bottom"/>
          </w:tcPr>
          <w:p w:rsidR="00B53199" w:rsidRDefault="00B53199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2815</w:t>
            </w:r>
          </w:p>
        </w:tc>
      </w:tr>
      <w:tr w:rsidR="00B53199" w:rsidRPr="00F061AE" w:rsidTr="00F061AE">
        <w:trPr>
          <w:jc w:val="center"/>
        </w:trPr>
        <w:tc>
          <w:tcPr>
            <w:tcW w:w="675" w:type="dxa"/>
          </w:tcPr>
          <w:p w:rsidR="00B53199" w:rsidRPr="00F061AE" w:rsidRDefault="00B53199" w:rsidP="00231554">
            <w:pPr>
              <w:jc w:val="both"/>
              <w:rPr>
                <w:rFonts w:cs="Arial"/>
                <w:i/>
                <w:color w:val="000000"/>
                <w:sz w:val="20"/>
              </w:rPr>
            </w:pPr>
            <w:r w:rsidRPr="00F061AE">
              <w:rPr>
                <w:rFonts w:cs="Arial"/>
                <w:i/>
                <w:color w:val="000000"/>
                <w:sz w:val="20"/>
              </w:rPr>
              <w:t>2015</w:t>
            </w:r>
          </w:p>
        </w:tc>
        <w:tc>
          <w:tcPr>
            <w:tcW w:w="1276" w:type="dxa"/>
          </w:tcPr>
          <w:p w:rsidR="00B53199" w:rsidRPr="00F061AE" w:rsidRDefault="00B53199" w:rsidP="00231554">
            <w:pPr>
              <w:jc w:val="both"/>
              <w:rPr>
                <w:rFonts w:cs="Arial"/>
                <w:i/>
                <w:color w:val="000000"/>
                <w:sz w:val="20"/>
              </w:rPr>
            </w:pPr>
            <w:r w:rsidRPr="00F061AE">
              <w:rPr>
                <w:rFonts w:cs="Arial"/>
                <w:i/>
                <w:color w:val="000000"/>
                <w:sz w:val="20"/>
              </w:rPr>
              <w:t>4050</w:t>
            </w:r>
            <w:r w:rsidR="009E3474">
              <w:rPr>
                <w:rFonts w:cs="Arial"/>
                <w:i/>
                <w:color w:val="000000"/>
                <w:sz w:val="20"/>
              </w:rPr>
              <w:t>0</w:t>
            </w:r>
          </w:p>
        </w:tc>
        <w:tc>
          <w:tcPr>
            <w:tcW w:w="1276" w:type="dxa"/>
          </w:tcPr>
          <w:p w:rsidR="00B53199" w:rsidRPr="00F061AE" w:rsidRDefault="00B53199" w:rsidP="00E127C8">
            <w:pPr>
              <w:jc w:val="both"/>
              <w:rPr>
                <w:rFonts w:cs="Arial"/>
                <w:i/>
                <w:color w:val="000000"/>
                <w:sz w:val="20"/>
              </w:rPr>
            </w:pPr>
            <w:r w:rsidRPr="00F061AE">
              <w:rPr>
                <w:rFonts w:cs="Arial"/>
                <w:i/>
                <w:color w:val="000000"/>
                <w:sz w:val="20"/>
              </w:rPr>
              <w:t>1510</w:t>
            </w:r>
          </w:p>
        </w:tc>
        <w:tc>
          <w:tcPr>
            <w:tcW w:w="1558" w:type="dxa"/>
          </w:tcPr>
          <w:p w:rsidR="00B53199" w:rsidRDefault="00B53199">
            <w:pPr>
              <w:jc w:val="both"/>
              <w:rPr>
                <w:rFonts w:cs="Arial"/>
                <w:i/>
                <w:iCs/>
                <w:color w:val="000000"/>
                <w:sz w:val="20"/>
              </w:rPr>
            </w:pPr>
            <w:r>
              <w:rPr>
                <w:rFonts w:cs="Arial"/>
                <w:i/>
                <w:iCs/>
                <w:color w:val="000000"/>
                <w:sz w:val="20"/>
              </w:rPr>
              <w:t>2815</w:t>
            </w:r>
          </w:p>
        </w:tc>
      </w:tr>
    </w:tbl>
    <w:p w:rsidR="00752480" w:rsidRPr="00752480" w:rsidRDefault="00752480" w:rsidP="00231554">
      <w:pPr>
        <w:jc w:val="center"/>
        <w:rPr>
          <w:rFonts w:cs="Arial"/>
          <w:i/>
          <w:color w:val="000000"/>
          <w:sz w:val="18"/>
        </w:rPr>
      </w:pPr>
      <w:r w:rsidRPr="00752480">
        <w:rPr>
          <w:rFonts w:cs="Arial"/>
          <w:i/>
          <w:color w:val="000000"/>
          <w:sz w:val="18"/>
        </w:rPr>
        <w:t>Dane GUS</w:t>
      </w:r>
      <w:r w:rsidR="00211A1D">
        <w:rPr>
          <w:rFonts w:cs="Arial"/>
          <w:i/>
          <w:color w:val="000000"/>
          <w:sz w:val="18"/>
        </w:rPr>
        <w:t>, szacunek IERiGŻ</w:t>
      </w:r>
    </w:p>
    <w:p w:rsidR="00710EEC" w:rsidRDefault="00710EEC" w:rsidP="00231554">
      <w:pPr>
        <w:jc w:val="both"/>
        <w:rPr>
          <w:rFonts w:cs="Arial"/>
          <w:color w:val="000000"/>
          <w:sz w:val="20"/>
        </w:rPr>
      </w:pPr>
    </w:p>
    <w:p w:rsidR="00AE79BA" w:rsidRPr="00234539" w:rsidRDefault="001D1CED" w:rsidP="00231554">
      <w:pPr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Perspektyw rozwoju branża upatruje </w:t>
      </w:r>
      <w:r w:rsidR="00677376">
        <w:rPr>
          <w:rFonts w:cs="Arial"/>
          <w:b/>
          <w:color w:val="000000"/>
          <w:sz w:val="20"/>
          <w:szCs w:val="22"/>
        </w:rPr>
        <w:t xml:space="preserve">w </w:t>
      </w:r>
      <w:r w:rsidR="006A3157" w:rsidRPr="00F76DAD">
        <w:rPr>
          <w:rFonts w:cs="Arial"/>
          <w:b/>
          <w:color w:val="000000"/>
          <w:sz w:val="20"/>
          <w:szCs w:val="22"/>
        </w:rPr>
        <w:t>eksporcie</w:t>
      </w:r>
    </w:p>
    <w:p w:rsidR="006A3157" w:rsidRDefault="00231554" w:rsidP="00231554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W okresie styczeń-wrzesień 2015 r. eksport napojów spirytusowych zmniejszył się o 4,6% do </w:t>
      </w:r>
      <w:r w:rsidR="00527F30">
        <w:rPr>
          <w:rFonts w:cs="Arial"/>
          <w:color w:val="000000"/>
          <w:sz w:val="20"/>
        </w:rPr>
        <w:t>36,25</w:t>
      </w:r>
      <w:r>
        <w:rPr>
          <w:rFonts w:cs="Arial"/>
          <w:color w:val="000000"/>
          <w:sz w:val="20"/>
        </w:rPr>
        <w:t xml:space="preserve"> mln litrów</w:t>
      </w:r>
      <w:r w:rsidR="001D1CED">
        <w:rPr>
          <w:rFonts w:cs="Arial"/>
          <w:color w:val="000000"/>
          <w:sz w:val="20"/>
        </w:rPr>
        <w:t>, ale</w:t>
      </w:r>
      <w:r>
        <w:rPr>
          <w:rFonts w:cs="Arial"/>
          <w:color w:val="000000"/>
          <w:sz w:val="20"/>
        </w:rPr>
        <w:t xml:space="preserve"> </w:t>
      </w:r>
      <w:r w:rsidR="001D1CED">
        <w:rPr>
          <w:rFonts w:cs="Arial"/>
          <w:color w:val="000000"/>
          <w:sz w:val="20"/>
        </w:rPr>
        <w:t>j</w:t>
      </w:r>
      <w:r>
        <w:rPr>
          <w:rFonts w:cs="Arial"/>
          <w:color w:val="000000"/>
          <w:sz w:val="20"/>
        </w:rPr>
        <w:t xml:space="preserve">ego wartość zwiększyła się o 2,1% do 127,3 mln euro. </w:t>
      </w:r>
      <w:r w:rsidR="001D1CED">
        <w:rPr>
          <w:rFonts w:cs="Arial"/>
          <w:color w:val="000000"/>
          <w:sz w:val="20"/>
        </w:rPr>
        <w:t xml:space="preserve">Średnia cena transakcyjna wzrosła o 8%. Gdyby producentom udało się zahamować spadki wolumenu, perspektywy dla branży byłyby korzystne. </w:t>
      </w:r>
      <w:r>
        <w:rPr>
          <w:rFonts w:cs="Arial"/>
          <w:color w:val="000000"/>
          <w:sz w:val="20"/>
        </w:rPr>
        <w:t>U</w:t>
      </w:r>
      <w:r w:rsidRPr="006A3157">
        <w:rPr>
          <w:rFonts w:cs="Arial"/>
          <w:color w:val="000000"/>
          <w:sz w:val="20"/>
        </w:rPr>
        <w:t>dział eksportu w produkcji</w:t>
      </w:r>
      <w:r>
        <w:rPr>
          <w:rFonts w:cs="Arial"/>
          <w:color w:val="000000"/>
          <w:sz w:val="20"/>
        </w:rPr>
        <w:t xml:space="preserve"> wynosi</w:t>
      </w:r>
      <w:r w:rsidRPr="006A3157">
        <w:rPr>
          <w:rFonts w:cs="Arial"/>
          <w:color w:val="000000"/>
          <w:sz w:val="20"/>
        </w:rPr>
        <w:t xml:space="preserve"> dla piwa</w:t>
      </w:r>
      <w:r>
        <w:rPr>
          <w:rFonts w:cs="Arial"/>
          <w:color w:val="000000"/>
          <w:sz w:val="20"/>
        </w:rPr>
        <w:t xml:space="preserve"> 7</w:t>
      </w:r>
      <w:r w:rsidRPr="006A3157">
        <w:rPr>
          <w:rFonts w:cs="Arial"/>
          <w:color w:val="000000"/>
          <w:sz w:val="20"/>
        </w:rPr>
        <w:t xml:space="preserve">%, </w:t>
      </w:r>
      <w:r>
        <w:rPr>
          <w:rFonts w:cs="Arial"/>
          <w:color w:val="000000"/>
          <w:sz w:val="20"/>
        </w:rPr>
        <w:t>dla wódki</w:t>
      </w:r>
      <w:r w:rsidRPr="006A3157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19%</w:t>
      </w:r>
      <w:r w:rsidRPr="006A3157">
        <w:rPr>
          <w:rFonts w:cs="Arial"/>
          <w:color w:val="000000"/>
          <w:sz w:val="20"/>
        </w:rPr>
        <w:t>.</w:t>
      </w:r>
      <w:r w:rsidR="00DD4976">
        <w:rPr>
          <w:rFonts w:cs="Arial"/>
          <w:color w:val="000000"/>
          <w:sz w:val="20"/>
        </w:rPr>
        <w:t xml:space="preserve"> </w:t>
      </w:r>
    </w:p>
    <w:p w:rsidR="006B1913" w:rsidRDefault="006B1913" w:rsidP="00231554">
      <w:pPr>
        <w:jc w:val="both"/>
        <w:rPr>
          <w:rFonts w:cs="Arial"/>
          <w:b/>
          <w:color w:val="000000"/>
          <w:sz w:val="20"/>
        </w:rPr>
      </w:pPr>
    </w:p>
    <w:p w:rsidR="006A3157" w:rsidRPr="00AE79BA" w:rsidRDefault="00FE7829" w:rsidP="00231554">
      <w:pPr>
        <w:jc w:val="both"/>
        <w:rPr>
          <w:rFonts w:cs="Arial"/>
          <w:color w:val="000000"/>
          <w:sz w:val="20"/>
        </w:rPr>
      </w:pPr>
      <w:r>
        <w:rPr>
          <w:rFonts w:cs="Arial"/>
          <w:i/>
          <w:color w:val="000000"/>
          <w:sz w:val="20"/>
        </w:rPr>
        <w:t>„</w:t>
      </w:r>
      <w:r w:rsidR="002C4D7C">
        <w:rPr>
          <w:rFonts w:cs="Arial"/>
          <w:i/>
          <w:color w:val="000000"/>
          <w:sz w:val="20"/>
        </w:rPr>
        <w:t>Nie mamy zbyt wielu produktów, które są globalnie rozpowszechnione</w:t>
      </w:r>
      <w:r>
        <w:rPr>
          <w:rFonts w:cs="Arial"/>
          <w:i/>
          <w:color w:val="000000"/>
          <w:sz w:val="20"/>
        </w:rPr>
        <w:t>, doceniane</w:t>
      </w:r>
      <w:r w:rsidR="002C4D7C">
        <w:rPr>
          <w:rFonts w:cs="Arial"/>
          <w:i/>
          <w:color w:val="000000"/>
          <w:sz w:val="20"/>
        </w:rPr>
        <w:t xml:space="preserve"> i kojarzone </w:t>
      </w:r>
      <w:r>
        <w:rPr>
          <w:rFonts w:cs="Arial"/>
          <w:i/>
          <w:color w:val="000000"/>
          <w:sz w:val="20"/>
        </w:rPr>
        <w:t xml:space="preserve">z </w:t>
      </w:r>
      <w:r w:rsidR="002C4D7C">
        <w:rPr>
          <w:rFonts w:cs="Arial"/>
          <w:i/>
          <w:color w:val="000000"/>
          <w:sz w:val="20"/>
        </w:rPr>
        <w:t xml:space="preserve">naszym krajem. </w:t>
      </w:r>
      <w:r>
        <w:rPr>
          <w:rFonts w:cs="Arial"/>
          <w:i/>
          <w:color w:val="000000"/>
          <w:sz w:val="20"/>
        </w:rPr>
        <w:t>Jak pokazują ostatnie badania uważamy, że Polska jest znana za granicą z polskiej wódki i muzyki Chopina. To dobra podstawa do promocji kategorii polska wódka na nowych rynkach</w:t>
      </w:r>
      <w:r w:rsidR="00124495">
        <w:rPr>
          <w:rFonts w:cs="Arial"/>
          <w:i/>
          <w:color w:val="000000"/>
          <w:sz w:val="20"/>
        </w:rPr>
        <w:t xml:space="preserve"> np.</w:t>
      </w:r>
      <w:r>
        <w:rPr>
          <w:rFonts w:cs="Arial"/>
          <w:i/>
          <w:color w:val="000000"/>
          <w:sz w:val="20"/>
        </w:rPr>
        <w:t xml:space="preserve"> afrykańskim, południowoamerykańskim czy </w:t>
      </w:r>
      <w:r w:rsidR="00124495">
        <w:rPr>
          <w:rFonts w:cs="Arial"/>
          <w:i/>
          <w:color w:val="000000"/>
          <w:sz w:val="20"/>
        </w:rPr>
        <w:t>Azji Środkowo</w:t>
      </w:r>
      <w:r w:rsidR="001D1CED">
        <w:rPr>
          <w:rFonts w:cs="Arial"/>
          <w:i/>
          <w:color w:val="000000"/>
          <w:sz w:val="20"/>
        </w:rPr>
        <w:t>-</w:t>
      </w:r>
      <w:r w:rsidR="00124495">
        <w:rPr>
          <w:rFonts w:cs="Arial"/>
          <w:i/>
          <w:color w:val="000000"/>
          <w:sz w:val="20"/>
        </w:rPr>
        <w:t>Wschodniej</w:t>
      </w:r>
      <w:r>
        <w:rPr>
          <w:rFonts w:cs="Arial"/>
          <w:i/>
          <w:color w:val="000000"/>
          <w:sz w:val="20"/>
        </w:rPr>
        <w:t>. Eksportując wódkę promujemy historyczne marki, naszą kulturę i tradycję. Chcielibyśmy, aby przynajmniej połowa krajowej produkcji była wysyłana w świat. Do tego potrzebne są jednak wsparcie a</w:t>
      </w:r>
      <w:r w:rsidR="00F72049">
        <w:rPr>
          <w:rFonts w:cs="Arial"/>
          <w:i/>
          <w:color w:val="000000"/>
          <w:sz w:val="20"/>
        </w:rPr>
        <w:t xml:space="preserve">dministracji państwowej i przyjazne otoczenie regulacyjne </w:t>
      </w:r>
      <w:r>
        <w:rPr>
          <w:rFonts w:cs="Arial"/>
          <w:i/>
          <w:color w:val="000000"/>
          <w:sz w:val="20"/>
        </w:rPr>
        <w:t xml:space="preserve">w kraju </w:t>
      </w:r>
      <w:r w:rsidR="00AE79BA" w:rsidRPr="00AE79BA">
        <w:rPr>
          <w:rFonts w:cs="Arial"/>
          <w:color w:val="000000"/>
          <w:sz w:val="20"/>
        </w:rPr>
        <w:t>–</w:t>
      </w:r>
      <w:r w:rsidR="00231554">
        <w:rPr>
          <w:rFonts w:cs="Arial"/>
          <w:color w:val="000000"/>
          <w:sz w:val="20"/>
        </w:rPr>
        <w:t xml:space="preserve"> </w:t>
      </w:r>
      <w:r w:rsidR="00AE79BA" w:rsidRPr="00231554">
        <w:rPr>
          <w:rFonts w:cs="Arial"/>
          <w:color w:val="000000"/>
          <w:sz w:val="20"/>
        </w:rPr>
        <w:t>komentuje</w:t>
      </w:r>
      <w:r w:rsidR="00AE79BA" w:rsidRPr="00231554">
        <w:rPr>
          <w:rFonts w:cs="Arial"/>
          <w:b/>
          <w:color w:val="000000"/>
          <w:sz w:val="20"/>
        </w:rPr>
        <w:t xml:space="preserve"> </w:t>
      </w:r>
      <w:r w:rsidR="00231554" w:rsidRPr="00F72049">
        <w:rPr>
          <w:rFonts w:cs="Arial"/>
          <w:color w:val="000000"/>
          <w:sz w:val="20"/>
        </w:rPr>
        <w:t>Andrzej</w:t>
      </w:r>
      <w:r w:rsidR="00AE79BA" w:rsidRPr="00F72049">
        <w:rPr>
          <w:rFonts w:cs="Arial"/>
          <w:color w:val="000000"/>
          <w:sz w:val="20"/>
        </w:rPr>
        <w:t xml:space="preserve"> Szumowski, Przewodniczący Rady Głównej ZP PPS, Prezes Stowarzyszenia Polska Wódka i Wiceprezes Wyborowa Pernod Ricard.</w:t>
      </w:r>
      <w:r w:rsidR="00AE79BA" w:rsidRPr="00AE79BA">
        <w:rPr>
          <w:rFonts w:cs="Arial"/>
          <w:color w:val="000000"/>
          <w:sz w:val="20"/>
        </w:rPr>
        <w:t xml:space="preserve"> </w:t>
      </w:r>
    </w:p>
    <w:p w:rsidR="006A3157" w:rsidRDefault="006A3157" w:rsidP="00231554">
      <w:pPr>
        <w:jc w:val="both"/>
        <w:rPr>
          <w:rFonts w:cs="Arial"/>
          <w:b/>
          <w:color w:val="000000"/>
          <w:sz w:val="20"/>
        </w:rPr>
      </w:pPr>
    </w:p>
    <w:p w:rsidR="00F76DAD" w:rsidRPr="00234539" w:rsidRDefault="00710EEC" w:rsidP="00234539">
      <w:pPr>
        <w:jc w:val="both"/>
        <w:rPr>
          <w:rFonts w:cs="Arial"/>
          <w:b/>
          <w:color w:val="000000"/>
          <w:sz w:val="20"/>
          <w:szCs w:val="22"/>
        </w:rPr>
      </w:pPr>
      <w:r w:rsidRPr="00F76DAD">
        <w:rPr>
          <w:rFonts w:cs="Arial"/>
          <w:b/>
          <w:color w:val="000000"/>
          <w:sz w:val="20"/>
          <w:szCs w:val="22"/>
        </w:rPr>
        <w:t>Nierówne warunki konkurencji na rynku alkoholi</w:t>
      </w:r>
    </w:p>
    <w:p w:rsidR="00F76DAD" w:rsidRDefault="00710EEC" w:rsidP="00F76DAD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710EEC">
        <w:rPr>
          <w:rFonts w:cs="Arial"/>
          <w:color w:val="000000"/>
          <w:sz w:val="20"/>
        </w:rPr>
        <w:t xml:space="preserve">W konsekwencji decyzji rządzących </w:t>
      </w:r>
      <w:r>
        <w:rPr>
          <w:rFonts w:cs="Arial"/>
          <w:color w:val="000000"/>
          <w:sz w:val="20"/>
        </w:rPr>
        <w:t xml:space="preserve">z 2014 r. </w:t>
      </w:r>
      <w:r w:rsidRPr="00710EEC">
        <w:rPr>
          <w:rFonts w:cs="Arial"/>
          <w:color w:val="000000"/>
          <w:sz w:val="20"/>
        </w:rPr>
        <w:t xml:space="preserve">podatki stanowią dziś ok. 60% ceny napojów spirytusowych </w:t>
      </w:r>
      <w:r w:rsidR="00F76DAD">
        <w:rPr>
          <w:rFonts w:cs="Arial"/>
          <w:color w:val="000000"/>
          <w:sz w:val="20"/>
        </w:rPr>
        <w:br/>
      </w:r>
      <w:r w:rsidRPr="00710EEC">
        <w:rPr>
          <w:rFonts w:cs="Arial"/>
          <w:color w:val="000000"/>
          <w:sz w:val="20"/>
        </w:rPr>
        <w:t>w Polsce, podczas gdy w innyc</w:t>
      </w:r>
      <w:r w:rsidR="00F76DAD">
        <w:rPr>
          <w:rFonts w:cs="Arial"/>
          <w:color w:val="000000"/>
          <w:sz w:val="20"/>
        </w:rPr>
        <w:t>h kategoriach alkoholi jest to 7</w:t>
      </w:r>
      <w:r w:rsidRPr="00710EEC">
        <w:rPr>
          <w:rFonts w:cs="Arial"/>
          <w:color w:val="000000"/>
          <w:sz w:val="20"/>
        </w:rPr>
        <w:t>-2</w:t>
      </w:r>
      <w:r w:rsidR="00F76DAD">
        <w:rPr>
          <w:rFonts w:cs="Arial"/>
          <w:color w:val="000000"/>
          <w:sz w:val="20"/>
        </w:rPr>
        <w:t>0</w:t>
      </w:r>
      <w:r w:rsidRPr="00710EEC">
        <w:rPr>
          <w:rFonts w:cs="Arial"/>
          <w:color w:val="000000"/>
          <w:sz w:val="20"/>
        </w:rPr>
        <w:t>%.</w:t>
      </w:r>
      <w:r>
        <w:rPr>
          <w:rFonts w:cs="Arial"/>
          <w:color w:val="000000"/>
          <w:sz w:val="20"/>
        </w:rPr>
        <w:t xml:space="preserve"> </w:t>
      </w:r>
      <w:r w:rsidR="00F76DAD">
        <w:rPr>
          <w:rFonts w:cs="Arial"/>
          <w:color w:val="000000"/>
          <w:sz w:val="20"/>
        </w:rPr>
        <w:t xml:space="preserve">Do tego dochodzi zakaz komunikacji </w:t>
      </w:r>
      <w:r w:rsidR="00F76DAD">
        <w:rPr>
          <w:rFonts w:cs="Arial"/>
          <w:color w:val="000000"/>
          <w:sz w:val="20"/>
        </w:rPr>
        <w:br/>
        <w:t>z konsumentem</w:t>
      </w:r>
      <w:r w:rsidR="00F35D2C">
        <w:rPr>
          <w:rFonts w:cs="Arial"/>
          <w:color w:val="000000"/>
          <w:sz w:val="20"/>
        </w:rPr>
        <w:t xml:space="preserve"> (reklama i sponsoring)</w:t>
      </w:r>
      <w:r w:rsidR="00F76DAD">
        <w:rPr>
          <w:rFonts w:cs="Arial"/>
          <w:color w:val="000000"/>
          <w:sz w:val="20"/>
        </w:rPr>
        <w:t>, który dotyczy tylko producentów napojów na bazie mocnych alkoholi. Utrudnia to budowę marek premium i kategorii RTD. Dodatkowo coraz więcej dany</w:t>
      </w:r>
      <w:r w:rsidR="00492D29">
        <w:rPr>
          <w:rFonts w:cs="Arial"/>
          <w:color w:val="000000"/>
          <w:sz w:val="20"/>
        </w:rPr>
        <w:t xml:space="preserve">ch wskazuje na wzrost </w:t>
      </w:r>
      <w:r w:rsidR="00F35D2C">
        <w:rPr>
          <w:rFonts w:cs="Arial"/>
          <w:color w:val="000000"/>
          <w:sz w:val="20"/>
        </w:rPr>
        <w:br/>
      </w:r>
      <w:r w:rsidR="00492D29">
        <w:rPr>
          <w:rFonts w:cs="Arial"/>
          <w:color w:val="000000"/>
          <w:sz w:val="20"/>
        </w:rPr>
        <w:t>w ostatnic</w:t>
      </w:r>
      <w:r w:rsidR="00F76DAD">
        <w:rPr>
          <w:rFonts w:cs="Arial"/>
          <w:color w:val="000000"/>
          <w:sz w:val="20"/>
        </w:rPr>
        <w:t xml:space="preserve">h dwóch latach szarej strefy wyrobów spirytusowych. Na nielegalnej konkurencji tracą przede wszystkim mniejsi producenci. </w:t>
      </w:r>
    </w:p>
    <w:p w:rsidR="001D1CED" w:rsidRDefault="001D1CED" w:rsidP="00F76DAD">
      <w:pPr>
        <w:shd w:val="clear" w:color="auto" w:fill="FFFFFF"/>
        <w:jc w:val="both"/>
        <w:rPr>
          <w:rFonts w:cs="Arial"/>
          <w:i/>
          <w:color w:val="000000"/>
          <w:sz w:val="20"/>
        </w:rPr>
      </w:pPr>
    </w:p>
    <w:p w:rsidR="00710EEC" w:rsidRDefault="00492D29" w:rsidP="00583446">
      <w:pPr>
        <w:shd w:val="clear" w:color="auto" w:fill="FFFFFF"/>
        <w:jc w:val="both"/>
        <w:rPr>
          <w:rFonts w:cs="Arial"/>
          <w:color w:val="000000"/>
          <w:sz w:val="20"/>
        </w:rPr>
      </w:pPr>
      <w:r>
        <w:rPr>
          <w:rFonts w:cs="Arial"/>
          <w:i/>
          <w:color w:val="000000"/>
          <w:sz w:val="20"/>
        </w:rPr>
        <w:t>Jesteśmy firmą rodzinną specjalizującą się w tradycyjnych polskich nalewkach. Trzy lata zajęło nam kompletowanie pozwoleń na uruchomienie produkcji. Nasze nalewki leżakują przynajmniej dwa lata zanim trafią do klie</w:t>
      </w:r>
      <w:r w:rsidR="00BB09AA">
        <w:rPr>
          <w:rFonts w:cs="Arial"/>
          <w:i/>
          <w:color w:val="000000"/>
          <w:sz w:val="20"/>
        </w:rPr>
        <w:t xml:space="preserve">nta. </w:t>
      </w:r>
      <w:r w:rsidR="00F35D2C">
        <w:rPr>
          <w:rFonts w:cs="Arial"/>
          <w:i/>
          <w:color w:val="000000"/>
          <w:sz w:val="20"/>
        </w:rPr>
        <w:t>Koszty produkcji są dość wysokie, dlatego cena dla konsumenta b</w:t>
      </w:r>
      <w:r w:rsidR="00BB09AA">
        <w:rPr>
          <w:rFonts w:cs="Arial"/>
          <w:i/>
          <w:color w:val="000000"/>
          <w:sz w:val="20"/>
        </w:rPr>
        <w:t>utelk</w:t>
      </w:r>
      <w:r w:rsidR="00F35D2C">
        <w:rPr>
          <w:rFonts w:cs="Arial"/>
          <w:i/>
          <w:color w:val="000000"/>
          <w:sz w:val="20"/>
        </w:rPr>
        <w:t>i</w:t>
      </w:r>
      <w:r w:rsidR="00BB09AA">
        <w:rPr>
          <w:rFonts w:cs="Arial"/>
          <w:i/>
          <w:color w:val="000000"/>
          <w:sz w:val="20"/>
        </w:rPr>
        <w:t xml:space="preserve"> 0,3</w:t>
      </w:r>
      <w:r w:rsidR="00F35D2C">
        <w:rPr>
          <w:rFonts w:cs="Arial"/>
          <w:i/>
          <w:color w:val="000000"/>
          <w:sz w:val="20"/>
        </w:rPr>
        <w:t>5l</w:t>
      </w:r>
      <w:r w:rsidR="00BB09AA">
        <w:rPr>
          <w:rFonts w:cs="Arial"/>
          <w:i/>
          <w:color w:val="000000"/>
          <w:sz w:val="20"/>
        </w:rPr>
        <w:t xml:space="preserve"> </w:t>
      </w:r>
      <w:r w:rsidR="00F35D2C">
        <w:rPr>
          <w:rFonts w:cs="Arial"/>
          <w:i/>
          <w:color w:val="000000"/>
          <w:sz w:val="20"/>
        </w:rPr>
        <w:t xml:space="preserve">to </w:t>
      </w:r>
      <w:r w:rsidR="00BB09AA">
        <w:rPr>
          <w:rFonts w:cs="Arial"/>
          <w:i/>
          <w:color w:val="000000"/>
          <w:sz w:val="20"/>
        </w:rPr>
        <w:t>ok.70</w:t>
      </w:r>
      <w:r>
        <w:rPr>
          <w:rFonts w:cs="Arial"/>
          <w:i/>
          <w:color w:val="000000"/>
          <w:sz w:val="20"/>
        </w:rPr>
        <w:t xml:space="preserve">zł. Niestety </w:t>
      </w:r>
      <w:r w:rsidR="00583446">
        <w:rPr>
          <w:rFonts w:cs="Arial"/>
          <w:i/>
          <w:color w:val="000000"/>
          <w:sz w:val="20"/>
        </w:rPr>
        <w:t>w zeszłym roku na wielu krajowych</w:t>
      </w:r>
      <w:r>
        <w:rPr>
          <w:rFonts w:cs="Arial"/>
          <w:i/>
          <w:color w:val="000000"/>
          <w:sz w:val="20"/>
        </w:rPr>
        <w:t xml:space="preserve"> targach widzi</w:t>
      </w:r>
      <w:r w:rsidR="00583446">
        <w:rPr>
          <w:rFonts w:cs="Arial"/>
          <w:i/>
          <w:color w:val="000000"/>
          <w:sz w:val="20"/>
        </w:rPr>
        <w:t>eliś</w:t>
      </w:r>
      <w:r>
        <w:rPr>
          <w:rFonts w:cs="Arial"/>
          <w:i/>
          <w:color w:val="000000"/>
          <w:sz w:val="20"/>
        </w:rPr>
        <w:t>my produkty bez banderoli, robione najp</w:t>
      </w:r>
      <w:r w:rsidR="00F35D2C">
        <w:rPr>
          <w:rFonts w:cs="Arial"/>
          <w:i/>
          <w:color w:val="000000"/>
          <w:sz w:val="20"/>
        </w:rPr>
        <w:t xml:space="preserve">ewniej na odkażanym spirytusie, </w:t>
      </w:r>
      <w:r w:rsidR="00E03001">
        <w:rPr>
          <w:rFonts w:cs="Arial"/>
          <w:i/>
          <w:color w:val="000000"/>
          <w:sz w:val="20"/>
        </w:rPr>
        <w:t>sprzedawane w niewiele niższych cenach. Taka konkurencja może zniszczyć legalny biznes</w:t>
      </w:r>
      <w:r w:rsidR="00583446">
        <w:rPr>
          <w:rFonts w:cs="Arial"/>
          <w:i/>
          <w:color w:val="000000"/>
          <w:sz w:val="20"/>
        </w:rPr>
        <w:t xml:space="preserve"> </w:t>
      </w:r>
      <w:r w:rsidR="00F76DAD">
        <w:rPr>
          <w:rFonts w:cs="Arial"/>
          <w:color w:val="000000"/>
          <w:sz w:val="20"/>
        </w:rPr>
        <w:t xml:space="preserve">- tłumaczy Karol Majewski, producent nalewek staropolskich, rekomendowanych m.in. przez światową organizację Slow Food. </w:t>
      </w:r>
    </w:p>
    <w:p w:rsidR="007A5E27" w:rsidRDefault="007A5E27" w:rsidP="00231554">
      <w:pPr>
        <w:jc w:val="both"/>
        <w:rPr>
          <w:rFonts w:cs="Arial"/>
          <w:color w:val="000000"/>
          <w:sz w:val="20"/>
        </w:rPr>
      </w:pPr>
    </w:p>
    <w:p w:rsidR="00677376" w:rsidRPr="00F76DAD" w:rsidRDefault="007A5E27" w:rsidP="00413D94">
      <w:pPr>
        <w:jc w:val="center"/>
        <w:rPr>
          <w:rFonts w:cs="Arial"/>
          <w:b/>
          <w:color w:val="000000"/>
          <w:sz w:val="20"/>
        </w:rPr>
      </w:pPr>
      <w:r w:rsidRPr="007A5E27">
        <w:rPr>
          <w:rFonts w:cs="Arial"/>
          <w:b/>
          <w:color w:val="000000"/>
          <w:sz w:val="20"/>
        </w:rPr>
        <w:t>Akcyza w butelce napoju alkoholowego</w:t>
      </w:r>
      <w:r w:rsidR="00F76DAD">
        <w:rPr>
          <w:rFonts w:cs="Arial"/>
          <w:b/>
          <w:color w:val="000000"/>
          <w:sz w:val="20"/>
        </w:rPr>
        <w:t xml:space="preserve">, stawki </w:t>
      </w:r>
      <w:r w:rsidR="00677376">
        <w:rPr>
          <w:rFonts w:cs="Arial"/>
          <w:b/>
          <w:color w:val="000000"/>
          <w:sz w:val="20"/>
        </w:rPr>
        <w:t xml:space="preserve">na napoje spirytusowe </w:t>
      </w:r>
      <w:r w:rsidR="00F76DAD">
        <w:rPr>
          <w:rFonts w:cs="Arial"/>
          <w:b/>
          <w:color w:val="000000"/>
          <w:sz w:val="20"/>
        </w:rPr>
        <w:t>w krajach sąsiadujących</w:t>
      </w:r>
    </w:p>
    <w:tbl>
      <w:tblPr>
        <w:tblStyle w:val="Jasnalistaakcent5"/>
        <w:tblpPr w:leftFromText="141" w:rightFromText="141" w:vertAnchor="text" w:horzAnchor="page" w:tblpX="7453" w:tblpY="250"/>
        <w:tblW w:w="0" w:type="auto"/>
        <w:tblLook w:val="04A0"/>
      </w:tblPr>
      <w:tblGrid>
        <w:gridCol w:w="1616"/>
        <w:gridCol w:w="1660"/>
      </w:tblGrid>
      <w:tr w:rsidR="00677376" w:rsidRPr="00677376" w:rsidTr="001D1CED">
        <w:trPr>
          <w:cnfStyle w:val="100000000000"/>
          <w:trHeight w:val="411"/>
        </w:trPr>
        <w:tc>
          <w:tcPr>
            <w:cnfStyle w:val="001000000000"/>
            <w:tcW w:w="3276" w:type="dxa"/>
            <w:gridSpan w:val="2"/>
          </w:tcPr>
          <w:p w:rsidR="00677376" w:rsidRPr="00677376" w:rsidRDefault="00677376" w:rsidP="00677376">
            <w:pPr>
              <w:jc w:val="right"/>
              <w:rPr>
                <w:rFonts w:cs="Arial"/>
                <w:color w:val="000000"/>
                <w:sz w:val="20"/>
                <w:szCs w:val="22"/>
              </w:rPr>
            </w:pPr>
            <w:r w:rsidRPr="00677376">
              <w:rPr>
                <w:rFonts w:cs="Arial"/>
                <w:color w:val="000000"/>
                <w:sz w:val="20"/>
                <w:szCs w:val="22"/>
              </w:rPr>
              <w:t>Akcyza w zł w 0,5l 40% alkoholu</w:t>
            </w:r>
          </w:p>
        </w:tc>
      </w:tr>
      <w:tr w:rsidR="00677376" w:rsidRPr="00677376" w:rsidTr="001D1CED">
        <w:trPr>
          <w:cnfStyle w:val="000000100000"/>
          <w:trHeight w:val="31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  <w:szCs w:val="22"/>
              </w:rPr>
              <w:t xml:space="preserve">Ukraina 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100000"/>
              <w:rPr>
                <w:rFonts w:cs="Arial"/>
                <w:sz w:val="20"/>
              </w:rPr>
            </w:pPr>
            <w:r w:rsidRPr="00BB09AA">
              <w:rPr>
                <w:rFonts w:cs="Arial"/>
                <w:sz w:val="20"/>
                <w:szCs w:val="22"/>
              </w:rPr>
              <w:t>3,62 zł</w:t>
            </w:r>
          </w:p>
        </w:tc>
      </w:tr>
      <w:tr w:rsidR="00677376" w:rsidRPr="00677376" w:rsidTr="001D1CED">
        <w:trPr>
          <w:trHeight w:val="29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  <w:szCs w:val="22"/>
              </w:rPr>
              <w:t>Białoruś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000000"/>
              <w:rPr>
                <w:rFonts w:cs="Arial"/>
                <w:sz w:val="20"/>
              </w:rPr>
            </w:pPr>
            <w:r w:rsidRPr="00BB09AA">
              <w:rPr>
                <w:rFonts w:cs="Arial"/>
                <w:sz w:val="20"/>
                <w:szCs w:val="22"/>
              </w:rPr>
              <w:t>8,25 zł</w:t>
            </w:r>
          </w:p>
        </w:tc>
      </w:tr>
      <w:tr w:rsidR="00677376" w:rsidRPr="00677376" w:rsidTr="001D1CED">
        <w:trPr>
          <w:cnfStyle w:val="000000100000"/>
          <w:trHeight w:val="29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  <w:szCs w:val="22"/>
              </w:rPr>
              <w:t>Czechy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100000"/>
              <w:rPr>
                <w:rFonts w:cs="Arial"/>
                <w:sz w:val="20"/>
              </w:rPr>
            </w:pPr>
            <w:r w:rsidRPr="00BB09AA">
              <w:rPr>
                <w:rFonts w:cs="Arial"/>
                <w:sz w:val="20"/>
                <w:szCs w:val="22"/>
              </w:rPr>
              <w:t>8,68 zł</w:t>
            </w:r>
          </w:p>
        </w:tc>
      </w:tr>
      <w:tr w:rsidR="00677376" w:rsidRPr="00677376" w:rsidTr="001D1CED">
        <w:trPr>
          <w:trHeight w:val="29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  <w:szCs w:val="22"/>
              </w:rPr>
              <w:t>Słowacja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000000"/>
              <w:rPr>
                <w:rFonts w:cs="Arial"/>
                <w:sz w:val="20"/>
              </w:rPr>
            </w:pPr>
            <w:r w:rsidRPr="00BB09AA">
              <w:rPr>
                <w:rFonts w:cs="Arial"/>
                <w:sz w:val="20"/>
                <w:szCs w:val="22"/>
              </w:rPr>
              <w:t>9,03 zł</w:t>
            </w:r>
          </w:p>
        </w:tc>
      </w:tr>
      <w:tr w:rsidR="00677376" w:rsidRPr="00677376" w:rsidTr="001D1CED">
        <w:trPr>
          <w:cnfStyle w:val="000000100000"/>
          <w:trHeight w:val="31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</w:rPr>
              <w:t>Litwa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100000"/>
              <w:rPr>
                <w:rFonts w:cs="Arial"/>
                <w:sz w:val="20"/>
              </w:rPr>
            </w:pPr>
            <w:r w:rsidRPr="00BB09AA">
              <w:rPr>
                <w:rFonts w:cs="Arial"/>
                <w:sz w:val="20"/>
              </w:rPr>
              <w:t>10,80 zł</w:t>
            </w:r>
          </w:p>
        </w:tc>
      </w:tr>
      <w:tr w:rsidR="00677376" w:rsidRPr="00677376" w:rsidTr="001D1CED">
        <w:trPr>
          <w:trHeight w:val="31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b w:val="0"/>
                <w:sz w:val="20"/>
              </w:rPr>
            </w:pPr>
            <w:r w:rsidRPr="00BB09AA">
              <w:rPr>
                <w:rFonts w:cs="Arial"/>
                <w:b w:val="0"/>
                <w:bCs w:val="0"/>
                <w:sz w:val="20"/>
                <w:szCs w:val="22"/>
              </w:rPr>
              <w:t>Niemcy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000000"/>
              <w:rPr>
                <w:rFonts w:cs="Arial"/>
                <w:bCs/>
                <w:sz w:val="20"/>
              </w:rPr>
            </w:pPr>
            <w:r w:rsidRPr="00BB09AA">
              <w:rPr>
                <w:rFonts w:cs="Arial"/>
                <w:bCs/>
                <w:sz w:val="20"/>
                <w:szCs w:val="22"/>
              </w:rPr>
              <w:t>10,89 zł</w:t>
            </w:r>
          </w:p>
        </w:tc>
      </w:tr>
      <w:tr w:rsidR="00677376" w:rsidRPr="00677376" w:rsidTr="001D1CED">
        <w:trPr>
          <w:cnfStyle w:val="000000100000"/>
          <w:trHeight w:val="316"/>
        </w:trPr>
        <w:tc>
          <w:tcPr>
            <w:cnfStyle w:val="001000000000"/>
            <w:tcW w:w="1616" w:type="dxa"/>
          </w:tcPr>
          <w:p w:rsidR="00677376" w:rsidRPr="00BB09AA" w:rsidRDefault="00677376" w:rsidP="00677376">
            <w:pPr>
              <w:rPr>
                <w:rFonts w:cs="Arial"/>
                <w:sz w:val="20"/>
              </w:rPr>
            </w:pPr>
            <w:r w:rsidRPr="00BB09AA">
              <w:rPr>
                <w:rFonts w:cs="Arial"/>
                <w:bCs w:val="0"/>
                <w:sz w:val="20"/>
              </w:rPr>
              <w:t>Polska</w:t>
            </w:r>
          </w:p>
        </w:tc>
        <w:tc>
          <w:tcPr>
            <w:tcW w:w="1660" w:type="dxa"/>
          </w:tcPr>
          <w:p w:rsidR="00677376" w:rsidRPr="00BB09AA" w:rsidRDefault="00677376" w:rsidP="00677376">
            <w:pPr>
              <w:jc w:val="right"/>
              <w:cnfStyle w:val="000000100000"/>
              <w:rPr>
                <w:rFonts w:cs="Arial"/>
                <w:b/>
                <w:bCs/>
                <w:sz w:val="20"/>
              </w:rPr>
            </w:pPr>
            <w:r w:rsidRPr="00BB09AA">
              <w:rPr>
                <w:rFonts w:cs="Arial"/>
                <w:b/>
                <w:bCs/>
                <w:sz w:val="20"/>
              </w:rPr>
              <w:t>11,41 zł</w:t>
            </w:r>
          </w:p>
        </w:tc>
      </w:tr>
    </w:tbl>
    <w:p w:rsidR="007A5E27" w:rsidRDefault="00F72049" w:rsidP="00F76DAD">
      <w:pPr>
        <w:shd w:val="clear" w:color="auto" w:fill="FFFFFF"/>
        <w:rPr>
          <w:rFonts w:cs="Arial"/>
          <w:color w:val="000000"/>
          <w:sz w:val="20"/>
        </w:rPr>
      </w:pPr>
      <w:r w:rsidRPr="00F72049">
        <w:rPr>
          <w:rFonts w:cs="Arial"/>
          <w:noProof/>
          <w:color w:val="000000"/>
          <w:sz w:val="20"/>
          <w:lang w:eastAsia="pl-PL"/>
        </w:rPr>
        <w:drawing>
          <wp:inline distT="0" distB="0" distL="0" distR="0">
            <wp:extent cx="3619500" cy="194267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917" t="18701" r="27912" b="3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4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76DAD">
        <w:rPr>
          <w:rFonts w:cs="Arial"/>
          <w:color w:val="000000"/>
          <w:sz w:val="20"/>
        </w:rPr>
        <w:t xml:space="preserve"> </w:t>
      </w:r>
    </w:p>
    <w:p w:rsidR="00AE79BA" w:rsidRPr="00677376" w:rsidRDefault="00F72049" w:rsidP="00F72049">
      <w:pPr>
        <w:shd w:val="clear" w:color="auto" w:fill="FFFFFF"/>
        <w:jc w:val="center"/>
        <w:rPr>
          <w:rFonts w:cs="Arial"/>
          <w:i/>
          <w:color w:val="000000"/>
          <w:sz w:val="20"/>
        </w:rPr>
      </w:pPr>
      <w:r w:rsidRPr="00677376">
        <w:rPr>
          <w:rFonts w:cs="Arial"/>
          <w:i/>
          <w:color w:val="000000"/>
          <w:sz w:val="20"/>
        </w:rPr>
        <w:t>Dane za KPMG</w:t>
      </w:r>
    </w:p>
    <w:p w:rsidR="00CB33D0" w:rsidRDefault="00CB33D0" w:rsidP="00231554">
      <w:pPr>
        <w:shd w:val="clear" w:color="auto" w:fill="FFFFFF"/>
        <w:jc w:val="both"/>
        <w:rPr>
          <w:rFonts w:cs="Arial"/>
          <w:b/>
          <w:color w:val="000000"/>
          <w:sz w:val="20"/>
        </w:rPr>
      </w:pPr>
    </w:p>
    <w:p w:rsidR="00F45A83" w:rsidRPr="00835C0D" w:rsidRDefault="00F45A83" w:rsidP="00231554">
      <w:pPr>
        <w:shd w:val="clear" w:color="auto" w:fill="FFFFFF"/>
        <w:jc w:val="both"/>
        <w:rPr>
          <w:rFonts w:cs="Arial"/>
          <w:b/>
          <w:color w:val="000000"/>
          <w:sz w:val="20"/>
        </w:rPr>
      </w:pPr>
      <w:r w:rsidRPr="00F45A83">
        <w:rPr>
          <w:rFonts w:cs="Arial"/>
          <w:b/>
          <w:color w:val="000000"/>
          <w:sz w:val="20"/>
        </w:rPr>
        <w:t xml:space="preserve">Prognozy: </w:t>
      </w:r>
      <w:r w:rsidR="00F72049">
        <w:rPr>
          <w:rFonts w:cs="Arial"/>
          <w:b/>
          <w:color w:val="000000"/>
          <w:sz w:val="20"/>
        </w:rPr>
        <w:t xml:space="preserve">dalszy </w:t>
      </w:r>
      <w:r w:rsidRPr="00F45A83">
        <w:rPr>
          <w:rFonts w:cs="Arial"/>
          <w:b/>
          <w:color w:val="000000"/>
          <w:sz w:val="20"/>
        </w:rPr>
        <w:t xml:space="preserve">spadek </w:t>
      </w:r>
      <w:r w:rsidR="006A3157">
        <w:rPr>
          <w:rFonts w:cs="Arial"/>
          <w:b/>
          <w:color w:val="000000"/>
          <w:sz w:val="20"/>
        </w:rPr>
        <w:t xml:space="preserve">sprzedaży </w:t>
      </w:r>
      <w:r w:rsidRPr="00F45A83">
        <w:rPr>
          <w:rFonts w:cs="Arial"/>
          <w:b/>
          <w:color w:val="000000"/>
          <w:sz w:val="20"/>
        </w:rPr>
        <w:t xml:space="preserve">wódki, </w:t>
      </w:r>
      <w:r w:rsidR="00F72049">
        <w:rPr>
          <w:rFonts w:cs="Arial"/>
          <w:b/>
          <w:color w:val="000000"/>
          <w:sz w:val="20"/>
        </w:rPr>
        <w:t xml:space="preserve">wzrosty w innych kategoriach, </w:t>
      </w:r>
      <w:r w:rsidRPr="00F45A83">
        <w:rPr>
          <w:rFonts w:cs="Arial"/>
          <w:b/>
          <w:color w:val="000000"/>
          <w:sz w:val="20"/>
        </w:rPr>
        <w:t>premiumizacja</w:t>
      </w:r>
    </w:p>
    <w:p w:rsidR="00F45A83" w:rsidRPr="00710EEC" w:rsidRDefault="00CB33D0" w:rsidP="00231554">
      <w:pPr>
        <w:shd w:val="clear" w:color="auto" w:fill="FFFFFF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Branża przewiduje, że w najbliższych kilku latach krajowy rynek wódki będzie nadal malał, ale tempo spadku </w:t>
      </w:r>
      <w:r w:rsidR="007B62D7">
        <w:rPr>
          <w:rFonts w:cs="Arial"/>
          <w:color w:val="000000"/>
          <w:sz w:val="20"/>
        </w:rPr>
        <w:t>będzie niższe</w:t>
      </w:r>
      <w:r>
        <w:rPr>
          <w:rFonts w:cs="Arial"/>
          <w:color w:val="000000"/>
          <w:sz w:val="20"/>
        </w:rPr>
        <w:t xml:space="preserve"> </w:t>
      </w:r>
      <w:r w:rsidR="007B62D7">
        <w:rPr>
          <w:rFonts w:cs="Arial"/>
          <w:color w:val="000000"/>
          <w:sz w:val="20"/>
        </w:rPr>
        <w:t>ok.</w:t>
      </w:r>
      <w:r>
        <w:rPr>
          <w:rFonts w:cs="Arial"/>
          <w:color w:val="000000"/>
          <w:sz w:val="20"/>
        </w:rPr>
        <w:t xml:space="preserve"> 1-2% rocznie. W niewielkim stopniu spadek zrekompensują wzrosty w pozostałych kategoriach  alkoholi. Duży potencjał rozwoju ma wciąż whisky, a także gin, rum, likiery smakowe oraz napoje </w:t>
      </w:r>
      <w:r>
        <w:rPr>
          <w:rFonts w:cs="Arial"/>
          <w:color w:val="000000"/>
          <w:sz w:val="20"/>
        </w:rPr>
        <w:br/>
        <w:t>o niskiej zawartości alkoholu (RTD).</w:t>
      </w:r>
    </w:p>
    <w:p w:rsidR="00E02F9F" w:rsidRDefault="00E02F9F" w:rsidP="00231554">
      <w:pPr>
        <w:shd w:val="clear" w:color="auto" w:fill="FFFFFF"/>
        <w:jc w:val="both"/>
        <w:rPr>
          <w:rFonts w:cs="Arial"/>
          <w:color w:val="000000"/>
          <w:sz w:val="20"/>
        </w:rPr>
      </w:pPr>
    </w:p>
    <w:p w:rsidR="00CB33D0" w:rsidRDefault="007B62D7" w:rsidP="00231554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663551">
        <w:rPr>
          <w:rFonts w:cs="Arial"/>
          <w:i/>
          <w:color w:val="000000"/>
          <w:sz w:val="20"/>
        </w:rPr>
        <w:t>„</w:t>
      </w:r>
      <w:r w:rsidR="00663551" w:rsidRPr="00663551">
        <w:rPr>
          <w:rFonts w:cs="Arial"/>
          <w:i/>
          <w:color w:val="000000"/>
          <w:sz w:val="20"/>
        </w:rPr>
        <w:t>Przed</w:t>
      </w:r>
      <w:r w:rsidRPr="00663551">
        <w:rPr>
          <w:rFonts w:cs="Arial"/>
          <w:i/>
          <w:color w:val="000000"/>
          <w:sz w:val="20"/>
        </w:rPr>
        <w:t xml:space="preserve"> </w:t>
      </w:r>
      <w:r w:rsidR="00663551" w:rsidRPr="00663551">
        <w:rPr>
          <w:rFonts w:cs="Arial"/>
          <w:i/>
          <w:color w:val="000000"/>
          <w:sz w:val="20"/>
        </w:rPr>
        <w:t>podwyżką akcyzy w 2014 r. branża prognozowała dynamiczny rozwój produktów premium i eksportu</w:t>
      </w:r>
      <w:r w:rsidR="00663551">
        <w:rPr>
          <w:rFonts w:cs="Arial"/>
          <w:i/>
          <w:color w:val="000000"/>
          <w:sz w:val="20"/>
        </w:rPr>
        <w:t>. Trend się zatrzymał, ale j</w:t>
      </w:r>
      <w:r w:rsidR="00663551" w:rsidRPr="00663551">
        <w:rPr>
          <w:rFonts w:cs="Arial"/>
          <w:i/>
          <w:color w:val="000000"/>
          <w:sz w:val="20"/>
        </w:rPr>
        <w:t xml:space="preserve">eżeli w tym roku uda się ustabilizować sytuację na rynku krajowym powinniśmy wrócić na tą ścieżkę. Będzie temu sprzyjać dobra kondycja gospodarcza, wzrost płac i zmiany w kulturze picia. Polacy coraz chętniej inwestują w dobre alkohole, doceniają jakość </w:t>
      </w:r>
      <w:r w:rsidR="00663551">
        <w:rPr>
          <w:rFonts w:cs="Arial"/>
          <w:i/>
          <w:color w:val="000000"/>
          <w:sz w:val="20"/>
        </w:rPr>
        <w:t xml:space="preserve">i trud wytworzenia wódek gatunkowych czy nalewek” </w:t>
      </w:r>
      <w:r>
        <w:rPr>
          <w:rFonts w:cs="Arial"/>
          <w:color w:val="000000"/>
          <w:sz w:val="20"/>
        </w:rPr>
        <w:t xml:space="preserve">– komentuje Leszek Wiwała, </w:t>
      </w:r>
      <w:r w:rsidR="00663551">
        <w:rPr>
          <w:rFonts w:cs="Arial"/>
          <w:color w:val="000000"/>
          <w:sz w:val="20"/>
        </w:rPr>
        <w:t xml:space="preserve">Prezes Zarządu </w:t>
      </w:r>
      <w:r>
        <w:rPr>
          <w:rFonts w:cs="Arial"/>
          <w:color w:val="000000"/>
          <w:sz w:val="20"/>
        </w:rPr>
        <w:t>Związek Pracodawców</w:t>
      </w:r>
      <w:r w:rsidR="00663551">
        <w:rPr>
          <w:rFonts w:cs="Arial"/>
          <w:color w:val="000000"/>
          <w:sz w:val="20"/>
        </w:rPr>
        <w:t xml:space="preserve"> Polski Przemysł Spirytusowy.</w:t>
      </w:r>
    </w:p>
    <w:p w:rsidR="003714E6" w:rsidRDefault="003714E6" w:rsidP="00231554">
      <w:pPr>
        <w:shd w:val="clear" w:color="auto" w:fill="FFFFFF"/>
        <w:jc w:val="both"/>
        <w:rPr>
          <w:rFonts w:cs="Arial"/>
          <w:color w:val="000000"/>
          <w:sz w:val="20"/>
        </w:rPr>
      </w:pPr>
    </w:p>
    <w:p w:rsidR="003714E6" w:rsidRDefault="003714E6" w:rsidP="003714E6">
      <w:pPr>
        <w:shd w:val="clear" w:color="auto" w:fill="FFFFFF"/>
        <w:jc w:val="both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Nowa strategia społecznej odpowiedzialności</w:t>
      </w:r>
    </w:p>
    <w:p w:rsidR="003714E6" w:rsidRPr="003714E6" w:rsidRDefault="003714E6" w:rsidP="00231554">
      <w:pPr>
        <w:shd w:val="clear" w:color="auto" w:fill="FFFFFF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W 2016 r. dobiega końca realizowana przez branżę strategia społecznej odpowiedzialności, której nadrzędnym celem jest ograniczenie nieodpowiedzialnej konsumpcji alkoholu. W jej ramach wykonano szereg działań z zakresu edukacji i profilaktyki, takich jak kampania społeczna </w:t>
      </w:r>
      <w:r w:rsidRPr="003714E6">
        <w:rPr>
          <w:i/>
          <w:color w:val="000000"/>
          <w:sz w:val="20"/>
        </w:rPr>
        <w:t>Piłeś? Nie jedź</w:t>
      </w:r>
      <w:r>
        <w:rPr>
          <w:color w:val="000000"/>
          <w:sz w:val="20"/>
        </w:rPr>
        <w:t xml:space="preserve">!, aktywnie prowadzony profil w mediach społecznościowych </w:t>
      </w:r>
      <w:r w:rsidRPr="003714E6">
        <w:rPr>
          <w:i/>
          <w:color w:val="000000"/>
          <w:sz w:val="20"/>
        </w:rPr>
        <w:t>Zdrowa ciąża</w:t>
      </w:r>
      <w:r>
        <w:rPr>
          <w:color w:val="000000"/>
          <w:sz w:val="20"/>
        </w:rPr>
        <w:t xml:space="preserve">, czy kampania kierowana do sprzedawców </w:t>
      </w:r>
      <w:r w:rsidRPr="003714E6">
        <w:rPr>
          <w:i/>
          <w:color w:val="000000"/>
          <w:sz w:val="20"/>
        </w:rPr>
        <w:t>Tu się sprawdza dorosłość</w:t>
      </w:r>
      <w:r>
        <w:rPr>
          <w:color w:val="000000"/>
          <w:sz w:val="20"/>
        </w:rPr>
        <w:t xml:space="preserve">. Proces opracowywania nowej strategii społecznej odpowiedzialności branży, na lata 2017-2020, podlega szerokim konsultacjom na wielu etapach, między innymi z wykorzystaniem ankiet ewaluacyjnych kierowanych do niezależnych ekspertów. Nowa strategia CSR zostanie ogłoszona w IV kwartale 2016 r.   </w:t>
      </w:r>
    </w:p>
    <w:p w:rsidR="00234539" w:rsidRDefault="00234539" w:rsidP="00231554">
      <w:pPr>
        <w:shd w:val="clear" w:color="auto" w:fill="FFFFFF"/>
        <w:jc w:val="both"/>
        <w:rPr>
          <w:rFonts w:cs="Arial"/>
          <w:color w:val="000000"/>
          <w:sz w:val="20"/>
        </w:rPr>
      </w:pPr>
    </w:p>
    <w:p w:rsidR="009A5DAF" w:rsidRDefault="009A5DAF" w:rsidP="00492D29">
      <w:pPr>
        <w:shd w:val="clear" w:color="auto" w:fill="FFFFFF"/>
        <w:jc w:val="center"/>
        <w:rPr>
          <w:rFonts w:cs="Arial"/>
          <w:sz w:val="20"/>
        </w:rPr>
      </w:pPr>
      <w:r>
        <w:rPr>
          <w:rFonts w:cs="Arial"/>
          <w:sz w:val="20"/>
        </w:rPr>
        <w:t>***</w:t>
      </w:r>
    </w:p>
    <w:p w:rsidR="002D4BFB" w:rsidRPr="00667815" w:rsidRDefault="00ED2180" w:rsidP="00231554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r w:rsidRPr="00851C54">
        <w:rPr>
          <w:rFonts w:ascii="Arial" w:hAnsi="Arial" w:cs="Arial"/>
          <w:b/>
          <w:color w:val="000000"/>
          <w:sz w:val="18"/>
          <w:szCs w:val="18"/>
        </w:rPr>
        <w:t>Związek Pracodawców Polski Przemysł Spirytusowy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jest organizacją branżową zrzeszającą producentów napojów spirytusowych. Do jego zadań należy podejmowanie działań ukierunkowanych na rozwój branży spirytusowej w Polsce i za granicą poprzez współpracę z przedstawicielami władzy publicznej oraz organizacjami społecznymi. ZP PPS zajmuje się przede wszystkim kwestiami związanymi z tworzeniem odpowiednich warunków prawnych i ekonomicznych dla rozwoju branży, umacnianiem wielowiekowej tradycji wyrobów spirytusowych, promowaniem nowych technologii oraz realizacją działań z zakresu społecznej odpowiedzialności biznesu w branży spirytusowej. Podejmuje również szerokie działania edukacyjne mające na celu rozpowszechnienie wiedzy na temat zagrożeń związanych z jego nieodpowiedzialną konsumpcją i sprzedażą alkoholu. Członkami ZP PPS są: 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>Akwawit-Polmos S.A.</w:t>
      </w:r>
      <w:r w:rsidR="00B15A5D">
        <w:rPr>
          <w:rFonts w:ascii="Arial" w:hAnsi="Arial" w:cs="Arial"/>
          <w:color w:val="000000"/>
          <w:sz w:val="18"/>
          <w:szCs w:val="18"/>
        </w:rPr>
        <w:t>,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Bacardi Martini Polska, </w:t>
      </w:r>
      <w:r w:rsidR="006E1E2F">
        <w:rPr>
          <w:rFonts w:ascii="Arial" w:hAnsi="Arial" w:cs="Arial"/>
          <w:color w:val="000000"/>
          <w:sz w:val="18"/>
          <w:szCs w:val="18"/>
        </w:rPr>
        <w:t xml:space="preserve">Baczewski J.A.,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Brown Forman Polska, </w:t>
      </w:r>
      <w:r w:rsidR="0038231F">
        <w:rPr>
          <w:rFonts w:ascii="Arial" w:hAnsi="Arial" w:cs="Arial"/>
          <w:color w:val="000000"/>
          <w:sz w:val="18"/>
          <w:szCs w:val="18"/>
        </w:rPr>
        <w:t xml:space="preserve">CEDC International,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Diageo Polska, Komers International, Mazurskie Miody, </w:t>
      </w:r>
      <w:r w:rsidR="004B3565">
        <w:rPr>
          <w:rFonts w:ascii="Arial" w:hAnsi="Arial" w:cs="Arial"/>
          <w:color w:val="000000"/>
          <w:sz w:val="18"/>
          <w:szCs w:val="18"/>
        </w:rPr>
        <w:t>Nalewki Staropolskie,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C4EA7">
        <w:rPr>
          <w:rFonts w:ascii="Arial" w:hAnsi="Arial" w:cs="Arial"/>
          <w:color w:val="000000"/>
          <w:sz w:val="18"/>
          <w:szCs w:val="18"/>
        </w:rPr>
        <w:t>PHP Wiesław Wawrzyniak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Polmos Siedlce, Polmos Żyrardów, Polmos</w:t>
      </w:r>
      <w:r w:rsidR="00B15A5D">
        <w:rPr>
          <w:rFonts w:ascii="Arial" w:hAnsi="Arial" w:cs="Arial"/>
          <w:color w:val="000000"/>
          <w:sz w:val="18"/>
          <w:szCs w:val="18"/>
        </w:rPr>
        <w:t xml:space="preserve"> Warszawa, </w:t>
      </w:r>
      <w:r w:rsidRPr="00D13611">
        <w:rPr>
          <w:rFonts w:ascii="Arial" w:hAnsi="Arial" w:cs="Arial"/>
          <w:color w:val="000000"/>
          <w:sz w:val="18"/>
          <w:szCs w:val="18"/>
        </w:rPr>
        <w:t>PPUH Tłocznia Mau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D13611"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38231F">
        <w:rPr>
          <w:rFonts w:ascii="Arial" w:hAnsi="Arial" w:cs="Arial"/>
          <w:color w:val="000000"/>
          <w:sz w:val="18"/>
          <w:szCs w:val="18"/>
        </w:rPr>
        <w:t xml:space="preserve">Sobieski, </w:t>
      </w:r>
      <w:r>
        <w:rPr>
          <w:rFonts w:ascii="Arial" w:hAnsi="Arial" w:cs="Arial"/>
          <w:color w:val="000000"/>
          <w:sz w:val="18"/>
          <w:szCs w:val="18"/>
        </w:rPr>
        <w:t xml:space="preserve">Stock Polska, </w:t>
      </w:r>
      <w:r w:rsidR="00F76B53">
        <w:rPr>
          <w:rFonts w:ascii="Arial" w:hAnsi="Arial" w:cs="Arial"/>
          <w:color w:val="000000"/>
          <w:sz w:val="18"/>
          <w:szCs w:val="18"/>
        </w:rPr>
        <w:t xml:space="preserve">Warszawska Wytwórnia Wódek Koneser,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Wyborowa Pernod Ricard, </w:t>
      </w:r>
      <w:r>
        <w:rPr>
          <w:rFonts w:ascii="Arial" w:hAnsi="Arial" w:cs="Arial"/>
          <w:color w:val="000000"/>
          <w:sz w:val="18"/>
          <w:szCs w:val="18"/>
        </w:rPr>
        <w:t>Vinpol</w:t>
      </w:r>
      <w:r w:rsidRPr="00851C54">
        <w:rPr>
          <w:rFonts w:ascii="Arial" w:hAnsi="Arial" w:cs="Arial"/>
          <w:color w:val="000000"/>
          <w:sz w:val="18"/>
          <w:szCs w:val="18"/>
        </w:rPr>
        <w:t>.</w:t>
      </w:r>
    </w:p>
    <w:sectPr w:rsidR="002D4BFB" w:rsidRPr="00667815" w:rsidSect="00C62E03">
      <w:footerReference w:type="default" r:id="rId10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99" w:rsidRDefault="00C50B99">
      <w:r>
        <w:separator/>
      </w:r>
    </w:p>
  </w:endnote>
  <w:endnote w:type="continuationSeparator" w:id="0">
    <w:p w:rsidR="00C50B99" w:rsidRDefault="00C5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DB" w:rsidRDefault="00AC3CDB" w:rsidP="00B43B7F"/>
  <w:p w:rsidR="00AC3CDB" w:rsidRPr="00BF6C6E" w:rsidRDefault="00AC3CDB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:rsidR="00AC3CDB" w:rsidRDefault="00AC3CDB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:rsidR="00AC3CDB" w:rsidRPr="005F38A4" w:rsidRDefault="00AC3CDB" w:rsidP="006116A2">
    <w:pPr>
      <w:rPr>
        <w:rFonts w:cs="Arial"/>
        <w:sz w:val="18"/>
        <w:szCs w:val="18"/>
      </w:rPr>
    </w:pPr>
    <w:r w:rsidRPr="005F38A4">
      <w:rPr>
        <w:rFonts w:cs="Arial"/>
        <w:sz w:val="18"/>
        <w:szCs w:val="18"/>
      </w:rPr>
      <w:t xml:space="preserve">KONTAKT: 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bookmarkStart w:id="0" w:name="_MailAutoSig"/>
    <w:r>
      <w:rPr>
        <w:rFonts w:cs="Arial"/>
        <w:noProof/>
        <w:sz w:val="18"/>
        <w:szCs w:val="18"/>
        <w:lang w:eastAsia="pl-PL"/>
      </w:rPr>
      <w:t>Iga Wasilewicz,</w:t>
    </w:r>
    <w:r w:rsidRPr="005F38A4">
      <w:rPr>
        <w:rFonts w:cs="Arial"/>
        <w:noProof/>
        <w:sz w:val="18"/>
        <w:szCs w:val="18"/>
        <w:lang w:eastAsia="pl-PL"/>
      </w:rPr>
      <w:t xml:space="preserve"> Związek Pracodawców Polski Przemysł Spirytusowy</w:t>
    </w:r>
  </w:p>
  <w:p w:rsidR="00AC3CDB" w:rsidRPr="005F38A4" w:rsidRDefault="00AC3CDB" w:rsidP="006116A2">
    <w:pPr>
      <w:rPr>
        <w:rFonts w:cs="Arial"/>
        <w:noProof/>
        <w:sz w:val="18"/>
        <w:szCs w:val="18"/>
        <w:lang w:val="en-US" w:eastAsia="pl-PL"/>
      </w:rPr>
    </w:pPr>
    <w:r>
      <w:rPr>
        <w:rFonts w:cs="Arial"/>
        <w:noProof/>
        <w:sz w:val="18"/>
        <w:szCs w:val="18"/>
        <w:lang w:val="en-US" w:eastAsia="pl-PL"/>
      </w:rPr>
      <w:t>tel. 22 630 98 87, e-mail: i.wasilewicz@</w:t>
    </w:r>
    <w:r w:rsidR="00E53E31">
      <w:rPr>
        <w:rFonts w:cs="Arial"/>
        <w:noProof/>
        <w:sz w:val="18"/>
        <w:szCs w:val="18"/>
        <w:lang w:val="en-US" w:eastAsia="pl-PL"/>
      </w:rPr>
      <w:t>zp</w:t>
    </w:r>
    <w:r w:rsidRPr="005F38A4">
      <w:rPr>
        <w:rFonts w:cs="Arial"/>
        <w:noProof/>
        <w:sz w:val="18"/>
        <w:szCs w:val="18"/>
        <w:lang w:val="en-US" w:eastAsia="pl-PL"/>
      </w:rPr>
      <w:t>pps.pl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r w:rsidRPr="005F38A4">
      <w:rPr>
        <w:rFonts w:cs="Arial"/>
        <w:noProof/>
        <w:sz w:val="18"/>
        <w:szCs w:val="18"/>
        <w:lang w:eastAsia="pl-PL"/>
      </w:rPr>
      <w:t>ul. Trębacka 4, lok. 338 – 342, 00-074 Warszawa</w:t>
    </w:r>
  </w:p>
  <w:p w:rsidR="00AC3CDB" w:rsidRPr="005F38A4" w:rsidRDefault="00170146" w:rsidP="006116A2">
    <w:pPr>
      <w:rPr>
        <w:rFonts w:cs="Arial"/>
        <w:noProof/>
        <w:sz w:val="18"/>
        <w:szCs w:val="18"/>
        <w:lang w:eastAsia="pl-PL"/>
      </w:rPr>
    </w:pPr>
    <w:hyperlink r:id="rId1" w:history="1">
      <w:r w:rsidR="00427781" w:rsidRPr="00B07597">
        <w:rPr>
          <w:rStyle w:val="Hipercze"/>
          <w:rFonts w:cs="Arial"/>
          <w:noProof/>
          <w:sz w:val="18"/>
          <w:szCs w:val="18"/>
          <w:lang w:eastAsia="pl-PL"/>
        </w:rPr>
        <w:t>www.zppps.pl</w:t>
      </w:r>
    </w:hyperlink>
    <w:r w:rsidR="00AC3CDB" w:rsidRPr="005F38A4">
      <w:rPr>
        <w:rFonts w:cs="Arial"/>
        <w:sz w:val="18"/>
        <w:szCs w:val="18"/>
      </w:rPr>
      <w:t xml:space="preserve"> </w:t>
    </w:r>
  </w:p>
  <w:bookmarkEnd w:id="0"/>
  <w:p w:rsidR="00AC3CDB" w:rsidRDefault="00AC3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99" w:rsidRDefault="00C50B99">
      <w:r>
        <w:separator/>
      </w:r>
    </w:p>
  </w:footnote>
  <w:footnote w:type="continuationSeparator" w:id="0">
    <w:p w:rsidR="00C50B99" w:rsidRDefault="00C5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BE5A0E"/>
    <w:multiLevelType w:val="hybridMultilevel"/>
    <w:tmpl w:val="DA406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B2AAE"/>
    <w:multiLevelType w:val="hybridMultilevel"/>
    <w:tmpl w:val="44921F2A"/>
    <w:lvl w:ilvl="0" w:tplc="D7AA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A7785B"/>
    <w:multiLevelType w:val="hybridMultilevel"/>
    <w:tmpl w:val="3E90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87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5BF8"/>
    <w:rsid w:val="0000041A"/>
    <w:rsid w:val="00001A77"/>
    <w:rsid w:val="000025EA"/>
    <w:rsid w:val="000026BC"/>
    <w:rsid w:val="000051E0"/>
    <w:rsid w:val="0001049F"/>
    <w:rsid w:val="00012A3A"/>
    <w:rsid w:val="00013EF7"/>
    <w:rsid w:val="000161F2"/>
    <w:rsid w:val="00025864"/>
    <w:rsid w:val="000263E1"/>
    <w:rsid w:val="000265A1"/>
    <w:rsid w:val="00032D0F"/>
    <w:rsid w:val="00033DC6"/>
    <w:rsid w:val="00037C38"/>
    <w:rsid w:val="00040F22"/>
    <w:rsid w:val="0004136D"/>
    <w:rsid w:val="000458F6"/>
    <w:rsid w:val="00045CBD"/>
    <w:rsid w:val="00046858"/>
    <w:rsid w:val="000532BC"/>
    <w:rsid w:val="00055EBA"/>
    <w:rsid w:val="00057A32"/>
    <w:rsid w:val="00062194"/>
    <w:rsid w:val="00063222"/>
    <w:rsid w:val="0006326C"/>
    <w:rsid w:val="0006331D"/>
    <w:rsid w:val="000669AF"/>
    <w:rsid w:val="00066CA8"/>
    <w:rsid w:val="00075A6D"/>
    <w:rsid w:val="00077921"/>
    <w:rsid w:val="00077E9E"/>
    <w:rsid w:val="00080253"/>
    <w:rsid w:val="0008087F"/>
    <w:rsid w:val="00080F56"/>
    <w:rsid w:val="00081872"/>
    <w:rsid w:val="000827EE"/>
    <w:rsid w:val="00087BE9"/>
    <w:rsid w:val="000901BE"/>
    <w:rsid w:val="000955ED"/>
    <w:rsid w:val="000971D4"/>
    <w:rsid w:val="000A5360"/>
    <w:rsid w:val="000A691A"/>
    <w:rsid w:val="000A774D"/>
    <w:rsid w:val="000B503B"/>
    <w:rsid w:val="000C0767"/>
    <w:rsid w:val="000C15BC"/>
    <w:rsid w:val="000C162A"/>
    <w:rsid w:val="000C195B"/>
    <w:rsid w:val="000C2F29"/>
    <w:rsid w:val="000C45BA"/>
    <w:rsid w:val="000D18D7"/>
    <w:rsid w:val="000D42DE"/>
    <w:rsid w:val="000E0D0D"/>
    <w:rsid w:val="000E5D36"/>
    <w:rsid w:val="000E629D"/>
    <w:rsid w:val="000E6D4E"/>
    <w:rsid w:val="000F09F4"/>
    <w:rsid w:val="000F2F65"/>
    <w:rsid w:val="000F6537"/>
    <w:rsid w:val="000F6987"/>
    <w:rsid w:val="000F6FD8"/>
    <w:rsid w:val="0010395A"/>
    <w:rsid w:val="001055FC"/>
    <w:rsid w:val="0010652C"/>
    <w:rsid w:val="001067E6"/>
    <w:rsid w:val="00114DA1"/>
    <w:rsid w:val="001171E0"/>
    <w:rsid w:val="00120CEA"/>
    <w:rsid w:val="001241FC"/>
    <w:rsid w:val="00124495"/>
    <w:rsid w:val="001259F3"/>
    <w:rsid w:val="00125B1E"/>
    <w:rsid w:val="00126A2A"/>
    <w:rsid w:val="00126CDF"/>
    <w:rsid w:val="0013504A"/>
    <w:rsid w:val="00135D65"/>
    <w:rsid w:val="00135DD1"/>
    <w:rsid w:val="00141C97"/>
    <w:rsid w:val="001548DD"/>
    <w:rsid w:val="00165A3B"/>
    <w:rsid w:val="00166BC7"/>
    <w:rsid w:val="00167C9C"/>
    <w:rsid w:val="00170146"/>
    <w:rsid w:val="00170E3D"/>
    <w:rsid w:val="00174E20"/>
    <w:rsid w:val="00182229"/>
    <w:rsid w:val="001879B9"/>
    <w:rsid w:val="0019003E"/>
    <w:rsid w:val="001912B9"/>
    <w:rsid w:val="00192BD7"/>
    <w:rsid w:val="00193301"/>
    <w:rsid w:val="001941CF"/>
    <w:rsid w:val="001949F9"/>
    <w:rsid w:val="00196525"/>
    <w:rsid w:val="0019666E"/>
    <w:rsid w:val="00196986"/>
    <w:rsid w:val="00196A74"/>
    <w:rsid w:val="001A19F4"/>
    <w:rsid w:val="001A5D94"/>
    <w:rsid w:val="001B1D78"/>
    <w:rsid w:val="001B1E73"/>
    <w:rsid w:val="001B259A"/>
    <w:rsid w:val="001B26EA"/>
    <w:rsid w:val="001B46BF"/>
    <w:rsid w:val="001B4D10"/>
    <w:rsid w:val="001B541E"/>
    <w:rsid w:val="001B59E6"/>
    <w:rsid w:val="001B614C"/>
    <w:rsid w:val="001C2E3C"/>
    <w:rsid w:val="001C716F"/>
    <w:rsid w:val="001C7620"/>
    <w:rsid w:val="001D0333"/>
    <w:rsid w:val="001D1CED"/>
    <w:rsid w:val="001D2C88"/>
    <w:rsid w:val="001D733F"/>
    <w:rsid w:val="001E00B9"/>
    <w:rsid w:val="001E1851"/>
    <w:rsid w:val="001E3882"/>
    <w:rsid w:val="001E61EB"/>
    <w:rsid w:val="001E6654"/>
    <w:rsid w:val="001E6F2D"/>
    <w:rsid w:val="001E74AF"/>
    <w:rsid w:val="001F3074"/>
    <w:rsid w:val="001F3B98"/>
    <w:rsid w:val="001F5623"/>
    <w:rsid w:val="001F57E5"/>
    <w:rsid w:val="001F7330"/>
    <w:rsid w:val="00202BD9"/>
    <w:rsid w:val="00202F47"/>
    <w:rsid w:val="00204C05"/>
    <w:rsid w:val="0020504C"/>
    <w:rsid w:val="00207650"/>
    <w:rsid w:val="00211A1D"/>
    <w:rsid w:val="00213D18"/>
    <w:rsid w:val="002149FA"/>
    <w:rsid w:val="00217684"/>
    <w:rsid w:val="00220117"/>
    <w:rsid w:val="00220781"/>
    <w:rsid w:val="00222791"/>
    <w:rsid w:val="002254F4"/>
    <w:rsid w:val="00225B5E"/>
    <w:rsid w:val="00226734"/>
    <w:rsid w:val="00230614"/>
    <w:rsid w:val="00231554"/>
    <w:rsid w:val="0023202A"/>
    <w:rsid w:val="002328F7"/>
    <w:rsid w:val="00233D20"/>
    <w:rsid w:val="00234539"/>
    <w:rsid w:val="00234A91"/>
    <w:rsid w:val="00237807"/>
    <w:rsid w:val="002403B3"/>
    <w:rsid w:val="0024213B"/>
    <w:rsid w:val="00245422"/>
    <w:rsid w:val="0024593F"/>
    <w:rsid w:val="002479B6"/>
    <w:rsid w:val="00255FF6"/>
    <w:rsid w:val="00256CCE"/>
    <w:rsid w:val="002573D7"/>
    <w:rsid w:val="0026062B"/>
    <w:rsid w:val="00271FCF"/>
    <w:rsid w:val="002765ED"/>
    <w:rsid w:val="00276837"/>
    <w:rsid w:val="00276C9B"/>
    <w:rsid w:val="00276D0B"/>
    <w:rsid w:val="0027720C"/>
    <w:rsid w:val="002779D6"/>
    <w:rsid w:val="00280238"/>
    <w:rsid w:val="00280E75"/>
    <w:rsid w:val="00281756"/>
    <w:rsid w:val="0028187B"/>
    <w:rsid w:val="00283277"/>
    <w:rsid w:val="00283FC9"/>
    <w:rsid w:val="002842ED"/>
    <w:rsid w:val="00286AC2"/>
    <w:rsid w:val="00290EB4"/>
    <w:rsid w:val="0029101F"/>
    <w:rsid w:val="00294A8D"/>
    <w:rsid w:val="002956B7"/>
    <w:rsid w:val="002A2D47"/>
    <w:rsid w:val="002A4E40"/>
    <w:rsid w:val="002A4E89"/>
    <w:rsid w:val="002A6C2E"/>
    <w:rsid w:val="002B1CB8"/>
    <w:rsid w:val="002B265B"/>
    <w:rsid w:val="002B56C3"/>
    <w:rsid w:val="002C2546"/>
    <w:rsid w:val="002C4D7C"/>
    <w:rsid w:val="002C6247"/>
    <w:rsid w:val="002D1BB6"/>
    <w:rsid w:val="002D3658"/>
    <w:rsid w:val="002D4BFB"/>
    <w:rsid w:val="002D5FE0"/>
    <w:rsid w:val="002D6176"/>
    <w:rsid w:val="002D7957"/>
    <w:rsid w:val="002E1B91"/>
    <w:rsid w:val="002E255D"/>
    <w:rsid w:val="002E4CBA"/>
    <w:rsid w:val="002F47BF"/>
    <w:rsid w:val="002F4C0C"/>
    <w:rsid w:val="002F509D"/>
    <w:rsid w:val="002F5613"/>
    <w:rsid w:val="002F5A7A"/>
    <w:rsid w:val="002F5D02"/>
    <w:rsid w:val="002F615B"/>
    <w:rsid w:val="0030212C"/>
    <w:rsid w:val="00302DBC"/>
    <w:rsid w:val="00304633"/>
    <w:rsid w:val="00306533"/>
    <w:rsid w:val="00311AA9"/>
    <w:rsid w:val="00313414"/>
    <w:rsid w:val="00313A2B"/>
    <w:rsid w:val="00314AFE"/>
    <w:rsid w:val="0031687B"/>
    <w:rsid w:val="00321033"/>
    <w:rsid w:val="00321BF9"/>
    <w:rsid w:val="00322AA6"/>
    <w:rsid w:val="003238D2"/>
    <w:rsid w:val="00325E46"/>
    <w:rsid w:val="0032671A"/>
    <w:rsid w:val="00326734"/>
    <w:rsid w:val="0033249C"/>
    <w:rsid w:val="003340E8"/>
    <w:rsid w:val="0033550A"/>
    <w:rsid w:val="00343994"/>
    <w:rsid w:val="00346658"/>
    <w:rsid w:val="003467F3"/>
    <w:rsid w:val="00347C18"/>
    <w:rsid w:val="00351AFD"/>
    <w:rsid w:val="00352BFC"/>
    <w:rsid w:val="00355124"/>
    <w:rsid w:val="00356B0D"/>
    <w:rsid w:val="00356C9B"/>
    <w:rsid w:val="00357835"/>
    <w:rsid w:val="00362B39"/>
    <w:rsid w:val="003714E6"/>
    <w:rsid w:val="00374AFE"/>
    <w:rsid w:val="0037662C"/>
    <w:rsid w:val="003770CA"/>
    <w:rsid w:val="00377245"/>
    <w:rsid w:val="00377360"/>
    <w:rsid w:val="00377956"/>
    <w:rsid w:val="00381028"/>
    <w:rsid w:val="0038231F"/>
    <w:rsid w:val="00383783"/>
    <w:rsid w:val="00386BC2"/>
    <w:rsid w:val="00387113"/>
    <w:rsid w:val="00387F23"/>
    <w:rsid w:val="00394BCE"/>
    <w:rsid w:val="00396F95"/>
    <w:rsid w:val="0039775F"/>
    <w:rsid w:val="003A159C"/>
    <w:rsid w:val="003A164B"/>
    <w:rsid w:val="003A3B1A"/>
    <w:rsid w:val="003A757F"/>
    <w:rsid w:val="003B068B"/>
    <w:rsid w:val="003B26FF"/>
    <w:rsid w:val="003B325D"/>
    <w:rsid w:val="003B3277"/>
    <w:rsid w:val="003B333C"/>
    <w:rsid w:val="003B4A73"/>
    <w:rsid w:val="003B4C36"/>
    <w:rsid w:val="003B4F18"/>
    <w:rsid w:val="003C0A4D"/>
    <w:rsid w:val="003C12C2"/>
    <w:rsid w:val="003C2A34"/>
    <w:rsid w:val="003C4879"/>
    <w:rsid w:val="003C4CDA"/>
    <w:rsid w:val="003C6750"/>
    <w:rsid w:val="003D3782"/>
    <w:rsid w:val="003D4546"/>
    <w:rsid w:val="003D5893"/>
    <w:rsid w:val="003D756F"/>
    <w:rsid w:val="003E1231"/>
    <w:rsid w:val="003E1F19"/>
    <w:rsid w:val="003E4C6D"/>
    <w:rsid w:val="003E548C"/>
    <w:rsid w:val="003E7CC7"/>
    <w:rsid w:val="003F0FCF"/>
    <w:rsid w:val="00401F4A"/>
    <w:rsid w:val="0040212D"/>
    <w:rsid w:val="0040406D"/>
    <w:rsid w:val="0041363D"/>
    <w:rsid w:val="00413D94"/>
    <w:rsid w:val="004145C1"/>
    <w:rsid w:val="00416819"/>
    <w:rsid w:val="00422AD6"/>
    <w:rsid w:val="00422B5A"/>
    <w:rsid w:val="00424C59"/>
    <w:rsid w:val="00427781"/>
    <w:rsid w:val="0043007C"/>
    <w:rsid w:val="00430E86"/>
    <w:rsid w:val="004334A5"/>
    <w:rsid w:val="00434212"/>
    <w:rsid w:val="00434DE5"/>
    <w:rsid w:val="0043540E"/>
    <w:rsid w:val="00441B7E"/>
    <w:rsid w:val="00445651"/>
    <w:rsid w:val="0045088C"/>
    <w:rsid w:val="00453A24"/>
    <w:rsid w:val="00454508"/>
    <w:rsid w:val="004545C9"/>
    <w:rsid w:val="0045660A"/>
    <w:rsid w:val="00457CC9"/>
    <w:rsid w:val="004612BF"/>
    <w:rsid w:val="004617DB"/>
    <w:rsid w:val="00463AA7"/>
    <w:rsid w:val="00463C82"/>
    <w:rsid w:val="00463EE7"/>
    <w:rsid w:val="00464924"/>
    <w:rsid w:val="00465468"/>
    <w:rsid w:val="00467F6C"/>
    <w:rsid w:val="00471FE2"/>
    <w:rsid w:val="00474467"/>
    <w:rsid w:val="004744AB"/>
    <w:rsid w:val="00477D4F"/>
    <w:rsid w:val="004831D6"/>
    <w:rsid w:val="00485516"/>
    <w:rsid w:val="00490E92"/>
    <w:rsid w:val="00492D29"/>
    <w:rsid w:val="00497475"/>
    <w:rsid w:val="00497AD4"/>
    <w:rsid w:val="004A402C"/>
    <w:rsid w:val="004B0091"/>
    <w:rsid w:val="004B05B5"/>
    <w:rsid w:val="004B2E9F"/>
    <w:rsid w:val="004B33F9"/>
    <w:rsid w:val="004B3565"/>
    <w:rsid w:val="004C09EA"/>
    <w:rsid w:val="004C0D6C"/>
    <w:rsid w:val="004C0DED"/>
    <w:rsid w:val="004C0E4E"/>
    <w:rsid w:val="004D0C45"/>
    <w:rsid w:val="004D33D9"/>
    <w:rsid w:val="004D3E32"/>
    <w:rsid w:val="004D5992"/>
    <w:rsid w:val="004D6117"/>
    <w:rsid w:val="004D75BD"/>
    <w:rsid w:val="004E5789"/>
    <w:rsid w:val="004E69E4"/>
    <w:rsid w:val="004F07D4"/>
    <w:rsid w:val="004F0BB9"/>
    <w:rsid w:val="004F2C1A"/>
    <w:rsid w:val="005007F7"/>
    <w:rsid w:val="00500C7D"/>
    <w:rsid w:val="00501EC3"/>
    <w:rsid w:val="00502F44"/>
    <w:rsid w:val="00503414"/>
    <w:rsid w:val="005055F9"/>
    <w:rsid w:val="00506B7C"/>
    <w:rsid w:val="0050760F"/>
    <w:rsid w:val="00510060"/>
    <w:rsid w:val="00513EC6"/>
    <w:rsid w:val="00514BEB"/>
    <w:rsid w:val="005163CE"/>
    <w:rsid w:val="00520242"/>
    <w:rsid w:val="00520385"/>
    <w:rsid w:val="00520620"/>
    <w:rsid w:val="00520EA1"/>
    <w:rsid w:val="00521E8C"/>
    <w:rsid w:val="0052278B"/>
    <w:rsid w:val="00522E80"/>
    <w:rsid w:val="005259FE"/>
    <w:rsid w:val="005265B0"/>
    <w:rsid w:val="005273BD"/>
    <w:rsid w:val="005273DC"/>
    <w:rsid w:val="00527F30"/>
    <w:rsid w:val="00532D51"/>
    <w:rsid w:val="0053406B"/>
    <w:rsid w:val="00534083"/>
    <w:rsid w:val="00534E55"/>
    <w:rsid w:val="00536BA9"/>
    <w:rsid w:val="00542C1D"/>
    <w:rsid w:val="0054410A"/>
    <w:rsid w:val="00546B09"/>
    <w:rsid w:val="005535A0"/>
    <w:rsid w:val="005542B0"/>
    <w:rsid w:val="00555237"/>
    <w:rsid w:val="0055726C"/>
    <w:rsid w:val="00562389"/>
    <w:rsid w:val="005636A4"/>
    <w:rsid w:val="00567D5D"/>
    <w:rsid w:val="005723FD"/>
    <w:rsid w:val="00572FAD"/>
    <w:rsid w:val="0057315C"/>
    <w:rsid w:val="00573BA1"/>
    <w:rsid w:val="00583446"/>
    <w:rsid w:val="00587D4E"/>
    <w:rsid w:val="00592BE2"/>
    <w:rsid w:val="00594790"/>
    <w:rsid w:val="00595F62"/>
    <w:rsid w:val="005A012B"/>
    <w:rsid w:val="005A080C"/>
    <w:rsid w:val="005A3F06"/>
    <w:rsid w:val="005A61DF"/>
    <w:rsid w:val="005B1913"/>
    <w:rsid w:val="005B393A"/>
    <w:rsid w:val="005C1967"/>
    <w:rsid w:val="005C1DF7"/>
    <w:rsid w:val="005C37F2"/>
    <w:rsid w:val="005C6811"/>
    <w:rsid w:val="005C77B9"/>
    <w:rsid w:val="005D2B6C"/>
    <w:rsid w:val="005D2E75"/>
    <w:rsid w:val="005D4146"/>
    <w:rsid w:val="005D56A9"/>
    <w:rsid w:val="005D5CC1"/>
    <w:rsid w:val="005E124D"/>
    <w:rsid w:val="005E17C4"/>
    <w:rsid w:val="005E5113"/>
    <w:rsid w:val="005F0DC4"/>
    <w:rsid w:val="005F2AA8"/>
    <w:rsid w:val="005F2FE1"/>
    <w:rsid w:val="005F38A4"/>
    <w:rsid w:val="005F3920"/>
    <w:rsid w:val="005F3A56"/>
    <w:rsid w:val="005F50A4"/>
    <w:rsid w:val="005F5FE8"/>
    <w:rsid w:val="005F76C9"/>
    <w:rsid w:val="00601C97"/>
    <w:rsid w:val="00601D76"/>
    <w:rsid w:val="006116A2"/>
    <w:rsid w:val="00611DEE"/>
    <w:rsid w:val="00614216"/>
    <w:rsid w:val="0061632A"/>
    <w:rsid w:val="00616F68"/>
    <w:rsid w:val="00624EFF"/>
    <w:rsid w:val="0062752B"/>
    <w:rsid w:val="0063110B"/>
    <w:rsid w:val="0063130A"/>
    <w:rsid w:val="006333A5"/>
    <w:rsid w:val="0064206E"/>
    <w:rsid w:val="006420A0"/>
    <w:rsid w:val="00643EF4"/>
    <w:rsid w:val="00644EF7"/>
    <w:rsid w:val="00645EAF"/>
    <w:rsid w:val="00646141"/>
    <w:rsid w:val="00650342"/>
    <w:rsid w:val="00652947"/>
    <w:rsid w:val="00653BA6"/>
    <w:rsid w:val="00662D5C"/>
    <w:rsid w:val="00663551"/>
    <w:rsid w:val="00667815"/>
    <w:rsid w:val="00667AA4"/>
    <w:rsid w:val="00670981"/>
    <w:rsid w:val="0067143C"/>
    <w:rsid w:val="00671988"/>
    <w:rsid w:val="00671DA1"/>
    <w:rsid w:val="00673F84"/>
    <w:rsid w:val="006759F2"/>
    <w:rsid w:val="00677376"/>
    <w:rsid w:val="00680FA7"/>
    <w:rsid w:val="00684EDD"/>
    <w:rsid w:val="0068572E"/>
    <w:rsid w:val="006870B7"/>
    <w:rsid w:val="006905A1"/>
    <w:rsid w:val="00691688"/>
    <w:rsid w:val="00694C33"/>
    <w:rsid w:val="006A3157"/>
    <w:rsid w:val="006A3554"/>
    <w:rsid w:val="006A5A13"/>
    <w:rsid w:val="006A6734"/>
    <w:rsid w:val="006B0E32"/>
    <w:rsid w:val="006B10D5"/>
    <w:rsid w:val="006B1913"/>
    <w:rsid w:val="006B6226"/>
    <w:rsid w:val="006C14B4"/>
    <w:rsid w:val="006C56D2"/>
    <w:rsid w:val="006C59F9"/>
    <w:rsid w:val="006D103E"/>
    <w:rsid w:val="006D305D"/>
    <w:rsid w:val="006D370D"/>
    <w:rsid w:val="006D4FC7"/>
    <w:rsid w:val="006D677A"/>
    <w:rsid w:val="006E0619"/>
    <w:rsid w:val="006E0CB7"/>
    <w:rsid w:val="006E1602"/>
    <w:rsid w:val="006E1E2F"/>
    <w:rsid w:val="006E516E"/>
    <w:rsid w:val="006E67F9"/>
    <w:rsid w:val="006E6AFC"/>
    <w:rsid w:val="006E7AC9"/>
    <w:rsid w:val="006F1503"/>
    <w:rsid w:val="006F247D"/>
    <w:rsid w:val="006F5AC0"/>
    <w:rsid w:val="006F5E3F"/>
    <w:rsid w:val="006F6F92"/>
    <w:rsid w:val="0070293A"/>
    <w:rsid w:val="007040D2"/>
    <w:rsid w:val="00706458"/>
    <w:rsid w:val="00707B02"/>
    <w:rsid w:val="00707CD9"/>
    <w:rsid w:val="00710EEC"/>
    <w:rsid w:val="007112B7"/>
    <w:rsid w:val="007139AC"/>
    <w:rsid w:val="0071449F"/>
    <w:rsid w:val="00714664"/>
    <w:rsid w:val="007170B3"/>
    <w:rsid w:val="0072112E"/>
    <w:rsid w:val="007238A3"/>
    <w:rsid w:val="00723FE9"/>
    <w:rsid w:val="007261FA"/>
    <w:rsid w:val="00730A6D"/>
    <w:rsid w:val="00731F45"/>
    <w:rsid w:val="0073412E"/>
    <w:rsid w:val="0073417D"/>
    <w:rsid w:val="00734474"/>
    <w:rsid w:val="00735943"/>
    <w:rsid w:val="00736088"/>
    <w:rsid w:val="00737415"/>
    <w:rsid w:val="00742487"/>
    <w:rsid w:val="0074269E"/>
    <w:rsid w:val="00744B57"/>
    <w:rsid w:val="00744DC5"/>
    <w:rsid w:val="00745693"/>
    <w:rsid w:val="00747E53"/>
    <w:rsid w:val="00750084"/>
    <w:rsid w:val="00752480"/>
    <w:rsid w:val="0075725F"/>
    <w:rsid w:val="00765B7C"/>
    <w:rsid w:val="00767528"/>
    <w:rsid w:val="00770EBB"/>
    <w:rsid w:val="00776BA0"/>
    <w:rsid w:val="00780C2B"/>
    <w:rsid w:val="00781DB9"/>
    <w:rsid w:val="007822DF"/>
    <w:rsid w:val="00784B88"/>
    <w:rsid w:val="00784DD8"/>
    <w:rsid w:val="007878C3"/>
    <w:rsid w:val="0079189B"/>
    <w:rsid w:val="0079670B"/>
    <w:rsid w:val="007A2BBA"/>
    <w:rsid w:val="007A333A"/>
    <w:rsid w:val="007A5E27"/>
    <w:rsid w:val="007B06D1"/>
    <w:rsid w:val="007B5372"/>
    <w:rsid w:val="007B62D7"/>
    <w:rsid w:val="007C2E49"/>
    <w:rsid w:val="007C45E9"/>
    <w:rsid w:val="007C4D53"/>
    <w:rsid w:val="007C5538"/>
    <w:rsid w:val="007C5BB6"/>
    <w:rsid w:val="007C7DA2"/>
    <w:rsid w:val="007D0CB3"/>
    <w:rsid w:val="007D2368"/>
    <w:rsid w:val="007D53D7"/>
    <w:rsid w:val="007E6DCD"/>
    <w:rsid w:val="007F0A2E"/>
    <w:rsid w:val="007F1A0C"/>
    <w:rsid w:val="007F3FA1"/>
    <w:rsid w:val="007F72D5"/>
    <w:rsid w:val="00800ED1"/>
    <w:rsid w:val="0080118F"/>
    <w:rsid w:val="00802110"/>
    <w:rsid w:val="00803878"/>
    <w:rsid w:val="00803968"/>
    <w:rsid w:val="008039C7"/>
    <w:rsid w:val="0080536A"/>
    <w:rsid w:val="00807E99"/>
    <w:rsid w:val="00811BD2"/>
    <w:rsid w:val="00815238"/>
    <w:rsid w:val="00816DFA"/>
    <w:rsid w:val="00832100"/>
    <w:rsid w:val="008335BB"/>
    <w:rsid w:val="008342F7"/>
    <w:rsid w:val="00834798"/>
    <w:rsid w:val="00835BD5"/>
    <w:rsid w:val="00835C0D"/>
    <w:rsid w:val="008403E8"/>
    <w:rsid w:val="008425BF"/>
    <w:rsid w:val="0084514E"/>
    <w:rsid w:val="0084729C"/>
    <w:rsid w:val="008512DB"/>
    <w:rsid w:val="00852217"/>
    <w:rsid w:val="00853E0F"/>
    <w:rsid w:val="0085618A"/>
    <w:rsid w:val="00856A88"/>
    <w:rsid w:val="0086115E"/>
    <w:rsid w:val="00867973"/>
    <w:rsid w:val="00873EC3"/>
    <w:rsid w:val="00876C1D"/>
    <w:rsid w:val="00881347"/>
    <w:rsid w:val="00882000"/>
    <w:rsid w:val="00884ACE"/>
    <w:rsid w:val="008877E3"/>
    <w:rsid w:val="00891AA7"/>
    <w:rsid w:val="00894545"/>
    <w:rsid w:val="008978E9"/>
    <w:rsid w:val="008A0108"/>
    <w:rsid w:val="008A20AB"/>
    <w:rsid w:val="008A32D4"/>
    <w:rsid w:val="008A47C0"/>
    <w:rsid w:val="008A4F49"/>
    <w:rsid w:val="008A5F0B"/>
    <w:rsid w:val="008A751D"/>
    <w:rsid w:val="008A7E71"/>
    <w:rsid w:val="008B3F8F"/>
    <w:rsid w:val="008B6D49"/>
    <w:rsid w:val="008B7315"/>
    <w:rsid w:val="008C0C99"/>
    <w:rsid w:val="008C7399"/>
    <w:rsid w:val="008D27FF"/>
    <w:rsid w:val="008D422D"/>
    <w:rsid w:val="008D4A27"/>
    <w:rsid w:val="008D5F05"/>
    <w:rsid w:val="008E2D60"/>
    <w:rsid w:val="008E4ECA"/>
    <w:rsid w:val="008E6495"/>
    <w:rsid w:val="008E6E32"/>
    <w:rsid w:val="008E7156"/>
    <w:rsid w:val="008F0AA8"/>
    <w:rsid w:val="008F185A"/>
    <w:rsid w:val="008F3A50"/>
    <w:rsid w:val="008F3AE3"/>
    <w:rsid w:val="008F67A5"/>
    <w:rsid w:val="008F7A84"/>
    <w:rsid w:val="00902E9E"/>
    <w:rsid w:val="009036FE"/>
    <w:rsid w:val="00910414"/>
    <w:rsid w:val="00911897"/>
    <w:rsid w:val="00913A4E"/>
    <w:rsid w:val="00913F5A"/>
    <w:rsid w:val="00916E33"/>
    <w:rsid w:val="009213CC"/>
    <w:rsid w:val="00923DED"/>
    <w:rsid w:val="009247FD"/>
    <w:rsid w:val="00924CA2"/>
    <w:rsid w:val="00927D87"/>
    <w:rsid w:val="00937565"/>
    <w:rsid w:val="00937D4C"/>
    <w:rsid w:val="00943595"/>
    <w:rsid w:val="00950D24"/>
    <w:rsid w:val="00961E47"/>
    <w:rsid w:val="0096459F"/>
    <w:rsid w:val="00964F59"/>
    <w:rsid w:val="009707F8"/>
    <w:rsid w:val="00976CF0"/>
    <w:rsid w:val="0098049C"/>
    <w:rsid w:val="009810A8"/>
    <w:rsid w:val="0098275B"/>
    <w:rsid w:val="009846F8"/>
    <w:rsid w:val="0098567D"/>
    <w:rsid w:val="00992E21"/>
    <w:rsid w:val="00993896"/>
    <w:rsid w:val="00995969"/>
    <w:rsid w:val="009959AC"/>
    <w:rsid w:val="00997067"/>
    <w:rsid w:val="009A12E0"/>
    <w:rsid w:val="009A4B51"/>
    <w:rsid w:val="009A5DAF"/>
    <w:rsid w:val="009B015E"/>
    <w:rsid w:val="009B0675"/>
    <w:rsid w:val="009B1C88"/>
    <w:rsid w:val="009B3736"/>
    <w:rsid w:val="009B3892"/>
    <w:rsid w:val="009B3E90"/>
    <w:rsid w:val="009C5501"/>
    <w:rsid w:val="009C5957"/>
    <w:rsid w:val="009C6172"/>
    <w:rsid w:val="009C718D"/>
    <w:rsid w:val="009D0FFC"/>
    <w:rsid w:val="009D1BA7"/>
    <w:rsid w:val="009D5C40"/>
    <w:rsid w:val="009D6F59"/>
    <w:rsid w:val="009D77B9"/>
    <w:rsid w:val="009D7F95"/>
    <w:rsid w:val="009E0A00"/>
    <w:rsid w:val="009E175E"/>
    <w:rsid w:val="009E1901"/>
    <w:rsid w:val="009E1B0D"/>
    <w:rsid w:val="009E3474"/>
    <w:rsid w:val="009E7B40"/>
    <w:rsid w:val="009F290A"/>
    <w:rsid w:val="009F4159"/>
    <w:rsid w:val="009F449B"/>
    <w:rsid w:val="009F75D6"/>
    <w:rsid w:val="00A00C41"/>
    <w:rsid w:val="00A01057"/>
    <w:rsid w:val="00A02541"/>
    <w:rsid w:val="00A02E83"/>
    <w:rsid w:val="00A104DF"/>
    <w:rsid w:val="00A12D88"/>
    <w:rsid w:val="00A139D6"/>
    <w:rsid w:val="00A1596E"/>
    <w:rsid w:val="00A174C0"/>
    <w:rsid w:val="00A22716"/>
    <w:rsid w:val="00A22982"/>
    <w:rsid w:val="00A32DEA"/>
    <w:rsid w:val="00A33C36"/>
    <w:rsid w:val="00A34486"/>
    <w:rsid w:val="00A34CB0"/>
    <w:rsid w:val="00A35F2F"/>
    <w:rsid w:val="00A37A9D"/>
    <w:rsid w:val="00A451DF"/>
    <w:rsid w:val="00A45691"/>
    <w:rsid w:val="00A45DA6"/>
    <w:rsid w:val="00A46FA6"/>
    <w:rsid w:val="00A47101"/>
    <w:rsid w:val="00A47189"/>
    <w:rsid w:val="00A475D6"/>
    <w:rsid w:val="00A47977"/>
    <w:rsid w:val="00A5063E"/>
    <w:rsid w:val="00A54898"/>
    <w:rsid w:val="00A559D9"/>
    <w:rsid w:val="00A567B2"/>
    <w:rsid w:val="00A62C22"/>
    <w:rsid w:val="00A73AB5"/>
    <w:rsid w:val="00A73D7D"/>
    <w:rsid w:val="00A75952"/>
    <w:rsid w:val="00A75CF5"/>
    <w:rsid w:val="00A8071C"/>
    <w:rsid w:val="00A817B8"/>
    <w:rsid w:val="00A820C0"/>
    <w:rsid w:val="00A847B7"/>
    <w:rsid w:val="00A874CE"/>
    <w:rsid w:val="00A87C46"/>
    <w:rsid w:val="00A87E0A"/>
    <w:rsid w:val="00A909E1"/>
    <w:rsid w:val="00A90E69"/>
    <w:rsid w:val="00A96684"/>
    <w:rsid w:val="00A97B8D"/>
    <w:rsid w:val="00AA12BD"/>
    <w:rsid w:val="00AA67CF"/>
    <w:rsid w:val="00AB5DB0"/>
    <w:rsid w:val="00AC02D9"/>
    <w:rsid w:val="00AC140A"/>
    <w:rsid w:val="00AC1B93"/>
    <w:rsid w:val="00AC1C77"/>
    <w:rsid w:val="00AC3CDB"/>
    <w:rsid w:val="00AC58CD"/>
    <w:rsid w:val="00AC5B45"/>
    <w:rsid w:val="00AC63BD"/>
    <w:rsid w:val="00AD22FE"/>
    <w:rsid w:val="00AD2D7E"/>
    <w:rsid w:val="00AD48EC"/>
    <w:rsid w:val="00AE53C2"/>
    <w:rsid w:val="00AE749B"/>
    <w:rsid w:val="00AE79BA"/>
    <w:rsid w:val="00AF1F1E"/>
    <w:rsid w:val="00AF23A0"/>
    <w:rsid w:val="00AF398C"/>
    <w:rsid w:val="00AF3A23"/>
    <w:rsid w:val="00AF6ADA"/>
    <w:rsid w:val="00B00C67"/>
    <w:rsid w:val="00B02423"/>
    <w:rsid w:val="00B0301F"/>
    <w:rsid w:val="00B135FF"/>
    <w:rsid w:val="00B14237"/>
    <w:rsid w:val="00B15A5D"/>
    <w:rsid w:val="00B15B3F"/>
    <w:rsid w:val="00B1665E"/>
    <w:rsid w:val="00B23581"/>
    <w:rsid w:val="00B374E8"/>
    <w:rsid w:val="00B37DFC"/>
    <w:rsid w:val="00B4116E"/>
    <w:rsid w:val="00B43B7F"/>
    <w:rsid w:val="00B43F57"/>
    <w:rsid w:val="00B44051"/>
    <w:rsid w:val="00B50FFF"/>
    <w:rsid w:val="00B52D34"/>
    <w:rsid w:val="00B53199"/>
    <w:rsid w:val="00B5451E"/>
    <w:rsid w:val="00B54893"/>
    <w:rsid w:val="00B55BF8"/>
    <w:rsid w:val="00B60656"/>
    <w:rsid w:val="00B6140D"/>
    <w:rsid w:val="00B62FAA"/>
    <w:rsid w:val="00B6571B"/>
    <w:rsid w:val="00B65C32"/>
    <w:rsid w:val="00B66759"/>
    <w:rsid w:val="00B676F3"/>
    <w:rsid w:val="00B72AFF"/>
    <w:rsid w:val="00B73872"/>
    <w:rsid w:val="00B75A47"/>
    <w:rsid w:val="00B77493"/>
    <w:rsid w:val="00B8038C"/>
    <w:rsid w:val="00B83F15"/>
    <w:rsid w:val="00B84B09"/>
    <w:rsid w:val="00B8644C"/>
    <w:rsid w:val="00B94B40"/>
    <w:rsid w:val="00B9667C"/>
    <w:rsid w:val="00BA429C"/>
    <w:rsid w:val="00BA48D4"/>
    <w:rsid w:val="00BA6CA6"/>
    <w:rsid w:val="00BA7D5D"/>
    <w:rsid w:val="00BB09AA"/>
    <w:rsid w:val="00BB1ACE"/>
    <w:rsid w:val="00BB404B"/>
    <w:rsid w:val="00BC3DB3"/>
    <w:rsid w:val="00BC66FB"/>
    <w:rsid w:val="00BC7013"/>
    <w:rsid w:val="00BD0BF1"/>
    <w:rsid w:val="00BD3CCA"/>
    <w:rsid w:val="00BD4AB9"/>
    <w:rsid w:val="00BD6071"/>
    <w:rsid w:val="00BD664D"/>
    <w:rsid w:val="00BD667B"/>
    <w:rsid w:val="00BD6CF2"/>
    <w:rsid w:val="00BE6A44"/>
    <w:rsid w:val="00BF2AA7"/>
    <w:rsid w:val="00BF31F6"/>
    <w:rsid w:val="00BF3E3B"/>
    <w:rsid w:val="00BF483B"/>
    <w:rsid w:val="00BF6C6E"/>
    <w:rsid w:val="00C00129"/>
    <w:rsid w:val="00C00985"/>
    <w:rsid w:val="00C054CD"/>
    <w:rsid w:val="00C070C7"/>
    <w:rsid w:val="00C07280"/>
    <w:rsid w:val="00C078FC"/>
    <w:rsid w:val="00C1016C"/>
    <w:rsid w:val="00C10517"/>
    <w:rsid w:val="00C114AD"/>
    <w:rsid w:val="00C1176A"/>
    <w:rsid w:val="00C1515A"/>
    <w:rsid w:val="00C2085A"/>
    <w:rsid w:val="00C219AF"/>
    <w:rsid w:val="00C21A0C"/>
    <w:rsid w:val="00C21AF6"/>
    <w:rsid w:val="00C25385"/>
    <w:rsid w:val="00C2570B"/>
    <w:rsid w:val="00C25832"/>
    <w:rsid w:val="00C30271"/>
    <w:rsid w:val="00C306DB"/>
    <w:rsid w:val="00C341B1"/>
    <w:rsid w:val="00C34B16"/>
    <w:rsid w:val="00C36B27"/>
    <w:rsid w:val="00C37118"/>
    <w:rsid w:val="00C408EA"/>
    <w:rsid w:val="00C41580"/>
    <w:rsid w:val="00C434C2"/>
    <w:rsid w:val="00C43A9A"/>
    <w:rsid w:val="00C472CA"/>
    <w:rsid w:val="00C50B99"/>
    <w:rsid w:val="00C51A62"/>
    <w:rsid w:val="00C5374D"/>
    <w:rsid w:val="00C54038"/>
    <w:rsid w:val="00C54D09"/>
    <w:rsid w:val="00C5697B"/>
    <w:rsid w:val="00C57A1E"/>
    <w:rsid w:val="00C60C11"/>
    <w:rsid w:val="00C61005"/>
    <w:rsid w:val="00C61997"/>
    <w:rsid w:val="00C62BD4"/>
    <w:rsid w:val="00C62E03"/>
    <w:rsid w:val="00C63694"/>
    <w:rsid w:val="00C7108C"/>
    <w:rsid w:val="00C719A3"/>
    <w:rsid w:val="00C72E55"/>
    <w:rsid w:val="00C749D1"/>
    <w:rsid w:val="00C77B92"/>
    <w:rsid w:val="00C8155B"/>
    <w:rsid w:val="00C830A1"/>
    <w:rsid w:val="00C832F9"/>
    <w:rsid w:val="00C907AC"/>
    <w:rsid w:val="00C90C7D"/>
    <w:rsid w:val="00C94AFF"/>
    <w:rsid w:val="00C97A0D"/>
    <w:rsid w:val="00CA19B9"/>
    <w:rsid w:val="00CA3961"/>
    <w:rsid w:val="00CA492F"/>
    <w:rsid w:val="00CA53CB"/>
    <w:rsid w:val="00CB33D0"/>
    <w:rsid w:val="00CB587A"/>
    <w:rsid w:val="00CC11B5"/>
    <w:rsid w:val="00CC1EB8"/>
    <w:rsid w:val="00CC21D9"/>
    <w:rsid w:val="00CC4987"/>
    <w:rsid w:val="00CD1078"/>
    <w:rsid w:val="00CD54F9"/>
    <w:rsid w:val="00CD5E3D"/>
    <w:rsid w:val="00CD5F3C"/>
    <w:rsid w:val="00CE0F93"/>
    <w:rsid w:val="00CE18B4"/>
    <w:rsid w:val="00CE1AF0"/>
    <w:rsid w:val="00CE3CAA"/>
    <w:rsid w:val="00CE6145"/>
    <w:rsid w:val="00CF063C"/>
    <w:rsid w:val="00CF151B"/>
    <w:rsid w:val="00CF2B99"/>
    <w:rsid w:val="00D02737"/>
    <w:rsid w:val="00D02A7C"/>
    <w:rsid w:val="00D050DB"/>
    <w:rsid w:val="00D06383"/>
    <w:rsid w:val="00D13611"/>
    <w:rsid w:val="00D1438E"/>
    <w:rsid w:val="00D149B4"/>
    <w:rsid w:val="00D16419"/>
    <w:rsid w:val="00D17992"/>
    <w:rsid w:val="00D17E5E"/>
    <w:rsid w:val="00D207F5"/>
    <w:rsid w:val="00D21CBA"/>
    <w:rsid w:val="00D3107B"/>
    <w:rsid w:val="00D377F6"/>
    <w:rsid w:val="00D40E0E"/>
    <w:rsid w:val="00D40EA1"/>
    <w:rsid w:val="00D41FE9"/>
    <w:rsid w:val="00D55E76"/>
    <w:rsid w:val="00D574A0"/>
    <w:rsid w:val="00D61FCF"/>
    <w:rsid w:val="00D631DE"/>
    <w:rsid w:val="00D652DA"/>
    <w:rsid w:val="00D66035"/>
    <w:rsid w:val="00D676AD"/>
    <w:rsid w:val="00D67D39"/>
    <w:rsid w:val="00D71FEA"/>
    <w:rsid w:val="00D7316F"/>
    <w:rsid w:val="00D73D28"/>
    <w:rsid w:val="00D7520E"/>
    <w:rsid w:val="00D75AAD"/>
    <w:rsid w:val="00D7760C"/>
    <w:rsid w:val="00D81887"/>
    <w:rsid w:val="00D81A44"/>
    <w:rsid w:val="00D90A90"/>
    <w:rsid w:val="00D90B12"/>
    <w:rsid w:val="00D90F32"/>
    <w:rsid w:val="00D91364"/>
    <w:rsid w:val="00D913D8"/>
    <w:rsid w:val="00D9373A"/>
    <w:rsid w:val="00DA009B"/>
    <w:rsid w:val="00DA27B5"/>
    <w:rsid w:val="00DA3074"/>
    <w:rsid w:val="00DA40ED"/>
    <w:rsid w:val="00DA51D5"/>
    <w:rsid w:val="00DB36BB"/>
    <w:rsid w:val="00DB6541"/>
    <w:rsid w:val="00DB6DAC"/>
    <w:rsid w:val="00DC0143"/>
    <w:rsid w:val="00DC707C"/>
    <w:rsid w:val="00DD3E2F"/>
    <w:rsid w:val="00DD4546"/>
    <w:rsid w:val="00DD4976"/>
    <w:rsid w:val="00DE1F2F"/>
    <w:rsid w:val="00DE3D9F"/>
    <w:rsid w:val="00DE6E1D"/>
    <w:rsid w:val="00DE7BC4"/>
    <w:rsid w:val="00DF239A"/>
    <w:rsid w:val="00DF2B65"/>
    <w:rsid w:val="00DF5804"/>
    <w:rsid w:val="00E008F8"/>
    <w:rsid w:val="00E02F9F"/>
    <w:rsid w:val="00E03001"/>
    <w:rsid w:val="00E05EAD"/>
    <w:rsid w:val="00E065C7"/>
    <w:rsid w:val="00E06FA0"/>
    <w:rsid w:val="00E07B80"/>
    <w:rsid w:val="00E10C98"/>
    <w:rsid w:val="00E120CF"/>
    <w:rsid w:val="00E127C8"/>
    <w:rsid w:val="00E12C8A"/>
    <w:rsid w:val="00E12CB0"/>
    <w:rsid w:val="00E15441"/>
    <w:rsid w:val="00E17343"/>
    <w:rsid w:val="00E244AC"/>
    <w:rsid w:val="00E24601"/>
    <w:rsid w:val="00E30099"/>
    <w:rsid w:val="00E361E1"/>
    <w:rsid w:val="00E4033C"/>
    <w:rsid w:val="00E428BA"/>
    <w:rsid w:val="00E42D90"/>
    <w:rsid w:val="00E42EC4"/>
    <w:rsid w:val="00E438BF"/>
    <w:rsid w:val="00E44917"/>
    <w:rsid w:val="00E4507E"/>
    <w:rsid w:val="00E50F85"/>
    <w:rsid w:val="00E51C12"/>
    <w:rsid w:val="00E526BE"/>
    <w:rsid w:val="00E53E31"/>
    <w:rsid w:val="00E5548B"/>
    <w:rsid w:val="00E555F1"/>
    <w:rsid w:val="00E55D0B"/>
    <w:rsid w:val="00E56A21"/>
    <w:rsid w:val="00E574CC"/>
    <w:rsid w:val="00E57C50"/>
    <w:rsid w:val="00E63B88"/>
    <w:rsid w:val="00E674BE"/>
    <w:rsid w:val="00E67F41"/>
    <w:rsid w:val="00E733DB"/>
    <w:rsid w:val="00E734BC"/>
    <w:rsid w:val="00E76470"/>
    <w:rsid w:val="00E84087"/>
    <w:rsid w:val="00E8450B"/>
    <w:rsid w:val="00E84E79"/>
    <w:rsid w:val="00E86A0C"/>
    <w:rsid w:val="00E87A6F"/>
    <w:rsid w:val="00E918E6"/>
    <w:rsid w:val="00E91AD6"/>
    <w:rsid w:val="00E96228"/>
    <w:rsid w:val="00EA0117"/>
    <w:rsid w:val="00EA075F"/>
    <w:rsid w:val="00EB0800"/>
    <w:rsid w:val="00EB1F4E"/>
    <w:rsid w:val="00EB2506"/>
    <w:rsid w:val="00EB432C"/>
    <w:rsid w:val="00EB4645"/>
    <w:rsid w:val="00EB6200"/>
    <w:rsid w:val="00EC0301"/>
    <w:rsid w:val="00EC2B17"/>
    <w:rsid w:val="00EC50B0"/>
    <w:rsid w:val="00ED02D6"/>
    <w:rsid w:val="00ED13F9"/>
    <w:rsid w:val="00ED2180"/>
    <w:rsid w:val="00ED3314"/>
    <w:rsid w:val="00EE018E"/>
    <w:rsid w:val="00EE5A10"/>
    <w:rsid w:val="00EF4D8C"/>
    <w:rsid w:val="00EF61E4"/>
    <w:rsid w:val="00F02195"/>
    <w:rsid w:val="00F02A06"/>
    <w:rsid w:val="00F05E29"/>
    <w:rsid w:val="00F061AE"/>
    <w:rsid w:val="00F114A5"/>
    <w:rsid w:val="00F12E72"/>
    <w:rsid w:val="00F2304C"/>
    <w:rsid w:val="00F325CD"/>
    <w:rsid w:val="00F355F8"/>
    <w:rsid w:val="00F35D2C"/>
    <w:rsid w:val="00F42245"/>
    <w:rsid w:val="00F42943"/>
    <w:rsid w:val="00F45A83"/>
    <w:rsid w:val="00F46162"/>
    <w:rsid w:val="00F510A2"/>
    <w:rsid w:val="00F5123D"/>
    <w:rsid w:val="00F52BAF"/>
    <w:rsid w:val="00F536D7"/>
    <w:rsid w:val="00F548C7"/>
    <w:rsid w:val="00F54B4C"/>
    <w:rsid w:val="00F6078A"/>
    <w:rsid w:val="00F611DF"/>
    <w:rsid w:val="00F62709"/>
    <w:rsid w:val="00F64A72"/>
    <w:rsid w:val="00F66E04"/>
    <w:rsid w:val="00F670F2"/>
    <w:rsid w:val="00F70ABF"/>
    <w:rsid w:val="00F72049"/>
    <w:rsid w:val="00F7409C"/>
    <w:rsid w:val="00F74E0D"/>
    <w:rsid w:val="00F7596C"/>
    <w:rsid w:val="00F76B53"/>
    <w:rsid w:val="00F76DAD"/>
    <w:rsid w:val="00F80678"/>
    <w:rsid w:val="00F84B79"/>
    <w:rsid w:val="00F86C05"/>
    <w:rsid w:val="00F874A4"/>
    <w:rsid w:val="00F874BD"/>
    <w:rsid w:val="00F95963"/>
    <w:rsid w:val="00F95B90"/>
    <w:rsid w:val="00F97C39"/>
    <w:rsid w:val="00FA0EC6"/>
    <w:rsid w:val="00FA22E1"/>
    <w:rsid w:val="00FA480F"/>
    <w:rsid w:val="00FA6373"/>
    <w:rsid w:val="00FA69E3"/>
    <w:rsid w:val="00FB50F5"/>
    <w:rsid w:val="00FB5CE5"/>
    <w:rsid w:val="00FC314E"/>
    <w:rsid w:val="00FC4F51"/>
    <w:rsid w:val="00FC4FDA"/>
    <w:rsid w:val="00FC5890"/>
    <w:rsid w:val="00FC6EF2"/>
    <w:rsid w:val="00FD1112"/>
    <w:rsid w:val="00FD251C"/>
    <w:rsid w:val="00FD263F"/>
    <w:rsid w:val="00FD442E"/>
    <w:rsid w:val="00FD5030"/>
    <w:rsid w:val="00FD662F"/>
    <w:rsid w:val="00FD76B7"/>
    <w:rsid w:val="00FE1168"/>
    <w:rsid w:val="00FE3CC4"/>
    <w:rsid w:val="00FE5F2B"/>
    <w:rsid w:val="00FE6238"/>
    <w:rsid w:val="00FE7829"/>
    <w:rsid w:val="00FF1E8D"/>
    <w:rsid w:val="00FF4ED0"/>
    <w:rsid w:val="00FF5773"/>
    <w:rsid w:val="00FF72FB"/>
    <w:rsid w:val="00FF741F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b/>
      <w:bCs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  <w:style w:type="table" w:styleId="Jasnalistaakcent5">
    <w:name w:val="Light List Accent 5"/>
    <w:basedOn w:val="Standardowy"/>
    <w:uiPriority w:val="61"/>
    <w:rsid w:val="001D1CE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DA3D-2275-45CA-BF58-1AD6913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 Spoż. Krajowa Rada Przetwórstwa Spirytusu</Company>
  <LinksUpToDate>false</LinksUpToDate>
  <CharactersWithSpaces>6876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http://www.pps.waw.pl/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Tomasik</dc:creator>
  <cp:lastModifiedBy>Iga</cp:lastModifiedBy>
  <cp:revision>25</cp:revision>
  <cp:lastPrinted>2016-02-24T08:45:00Z</cp:lastPrinted>
  <dcterms:created xsi:type="dcterms:W3CDTF">2016-01-18T09:50:00Z</dcterms:created>
  <dcterms:modified xsi:type="dcterms:W3CDTF">2016-02-24T08:50:00Z</dcterms:modified>
</cp:coreProperties>
</file>