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AAB7" w14:textId="77777777" w:rsidR="00E208F7" w:rsidRDefault="00F413AB" w:rsidP="00F413AB">
      <w:pPr>
        <w:suppressAutoHyphens w:val="0"/>
        <w:overflowPunct/>
        <w:autoSpaceDE/>
        <w:spacing w:before="120" w:after="120"/>
        <w:ind w:firstLine="708"/>
        <w:jc w:val="right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</w:pPr>
      <w:r w:rsidRPr="00F413AB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Warszawa, </w:t>
      </w:r>
      <w:r w:rsidR="003E033D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>09</w:t>
      </w:r>
      <w:r w:rsidRPr="00F413AB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>.12.2025 r.</w:t>
      </w:r>
    </w:p>
    <w:p w14:paraId="4D59C969" w14:textId="6CC1173D" w:rsidR="00E208F7" w:rsidRPr="00081AAB" w:rsidRDefault="00F413AB" w:rsidP="00081AAB">
      <w:pPr>
        <w:suppressAutoHyphens w:val="0"/>
        <w:overflowPunct/>
        <w:autoSpaceDE/>
        <w:spacing w:before="120" w:after="120"/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  <w:lang w:eastAsia="pl-PL"/>
        </w:rPr>
      </w:pPr>
      <w:r w:rsidRPr="00F413AB">
        <w:rPr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  <w:lang w:eastAsia="pl-PL"/>
        </w:rPr>
        <w:t>Informacja prasowa</w:t>
      </w:r>
    </w:p>
    <w:p w14:paraId="61404D53" w14:textId="5E4D9B5D" w:rsidR="00081AAB" w:rsidRPr="00081AAB" w:rsidRDefault="00B935CE" w:rsidP="00CD0FD4">
      <w:pPr>
        <w:suppressAutoHyphens w:val="0"/>
        <w:overflowPunct/>
        <w:autoSpaceDE/>
        <w:spacing w:after="240"/>
        <w:jc w:val="center"/>
        <w:rPr>
          <w:rFonts w:ascii="Calibri" w:eastAsia="Aptos" w:hAnsi="Calibri" w:cs="Calibri"/>
          <w:b/>
          <w:bCs/>
          <w:color w:val="000000" w:themeColor="text1"/>
          <w:kern w:val="2"/>
          <w:szCs w:val="24"/>
          <w:lang w:eastAsia="en-US"/>
        </w:rPr>
      </w:pPr>
      <w:r w:rsidRPr="00081AAB">
        <w:rPr>
          <w:rFonts w:ascii="Calibri" w:eastAsia="Aptos" w:hAnsi="Calibri" w:cs="Calibri"/>
          <w:b/>
          <w:bCs/>
          <w:color w:val="000000" w:themeColor="text1"/>
          <w:kern w:val="2"/>
          <w:szCs w:val="24"/>
          <w:lang w:eastAsia="en-US"/>
        </w:rPr>
        <w:t>Świętuj z głową: sprawdź fakty o alkoholu</w:t>
      </w:r>
    </w:p>
    <w:p w14:paraId="4C4C8C30" w14:textId="77777777" w:rsidR="00F413AB" w:rsidRPr="00F413AB" w:rsidRDefault="003E033D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</w:pPr>
      <w:r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Święta</w:t>
      </w:r>
      <w:r w:rsidR="00B45393" w:rsidRPr="00DB1C39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 i Sylwest</w:t>
      </w:r>
      <w:r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er</w:t>
      </w:r>
      <w:r w:rsidR="00B45393" w:rsidRPr="00DB1C39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 to okres</w:t>
      </w:r>
      <w:r w:rsidR="00B4539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 spotkań </w:t>
      </w:r>
      <w:r w:rsidR="00B45393" w:rsidRPr="00B45393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 xml:space="preserve">w gronie rodziny i znajomych, 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>podczas których</w:t>
      </w:r>
      <w:r w:rsidR="00B45393" w:rsidRPr="00B45393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 xml:space="preserve"> </w:t>
      </w:r>
      <w:r w:rsidR="00B45393" w:rsidRPr="00DB1C39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pojawia się więcej okazji do </w:t>
      </w:r>
      <w:r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celebracji i </w:t>
      </w:r>
      <w:r w:rsidR="00B45393" w:rsidRPr="00DB1C39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wznoszenia toastów</w:t>
      </w:r>
      <w:r w:rsidR="00B45393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t>.</w:t>
      </w:r>
      <w:r w:rsidR="00B45393" w:rsidRPr="00F413AB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t xml:space="preserve"> </w:t>
      </w:r>
      <w:r w:rsidR="00B4539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Warto pamiętać </w:t>
      </w:r>
      <w:r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przy tym</w:t>
      </w:r>
      <w:r w:rsidR="00B4539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, że wiele przekonań związanych ze spożywaniem alkoholu to mity</w:t>
      </w:r>
      <w:r w:rsidR="00B17BA6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.</w:t>
      </w:r>
      <w:r w:rsidR="00B45393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 </w:t>
      </w:r>
      <w:r w:rsidR="00F413AB" w:rsidRPr="00F413AB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>Ktoś wierzy, że przed upojeniem uchroni go mocna głowa, ktoś inny, że syty posiłek, jeszcze ktoś inny powie, że wystarczy nie mieszać różnych alkoholi. I choć te powiedzenia wydają się nieszkodliwe, w rzeczywistości mogą prowadzić do błędnych ocen i nieprzemyślanych decyzji. Kampania edukacyjna „Alkomity” przypomina, że odpowiedzialna konsumpcja zaczyna się od rzetelnej wiedzy.</w:t>
      </w:r>
    </w:p>
    <w:p w14:paraId="2FAAE0AF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>(Świąteczny) czas na obalenie alko-mitów</w:t>
      </w:r>
    </w:p>
    <w:p w14:paraId="497A6BD8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>Podczas świątecznych spotkań często powracają popularne przekonania dotyczące alkoholu. W które z nich nie powinniśmy wierzyć?</w:t>
      </w:r>
    </w:p>
    <w:p w14:paraId="7888283D" w14:textId="08556371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MIT: Jak nie pomieszam, to się nie upiję. </w:t>
      </w:r>
      <w:r w:rsidR="00CD4A6D" w:rsidRPr="00DB1C39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Stan upojenia alkoholowego nie zależy od tego, jakie napoje alkoholowe pijemy, ale ile wypijemy czystego alkoholu w nich zawartego. Nie ma znaczenia, jaki alkohol pijemy, bo każdy zawiera tą samą substancję – etanol (alkohol etylowy). Nie ma też znaczenia</w:t>
      </w:r>
      <w:r w:rsidR="00FD290E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,</w:t>
      </w:r>
      <w:r w:rsidR="00CD4A6D" w:rsidRPr="00DB1C39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czy pijemy tyko piwo, tylko wino</w:t>
      </w:r>
      <w:r w:rsidR="00FD290E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,</w:t>
      </w:r>
      <w:r w:rsidR="00CD4A6D" w:rsidRPr="00DB1C39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jakiekolwiek napoje spirytusowe, czy też mieszamy ze sobą różne alkohole. </w:t>
      </w:r>
      <w:r w:rsidR="003E033D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Liczy się</w:t>
      </w:r>
      <w:r w:rsidR="00CD4A6D" w:rsidRPr="00DB1C39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, ile czystego alkoholu dostarczymy do organizmu</w:t>
      </w:r>
      <w:r w:rsidRPr="00DB1C39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.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Dlatego tak ważna jest świadomość porcji czystego alkoholu, którą zawierają różne trunki.</w:t>
      </w:r>
    </w:p>
    <w:p w14:paraId="1A7CA625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MIT: Piwo to nie alkohol.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Postrzeganie piwa jako „lżejszego” </w:t>
      </w:r>
      <w:r w:rsidR="00CD4A6D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alkoholu u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trudnia intuicyjną ocenę „mocy” tego napoju</w:t>
      </w:r>
      <w:r w:rsidR="00CD4A6D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i jego wpływu na organizm. </w:t>
      </w:r>
      <w:r w:rsidR="003E033D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Z tego powodu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wiele osób nieświadomie wypija większą ilość </w:t>
      </w:r>
      <w:r w:rsidR="00CD4A6D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jednostek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alkoholu niż planowało. Tymczasem półlitrowe piwo 5% dostarcza tyle samo czystego alkoholu, co dwa 30 ml kieliszki wódki 40% czy dwa 100 ml kieliszki wina 12%.</w:t>
      </w:r>
    </w:p>
    <w:p w14:paraId="3AFEA831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MIT: Po tłustym posiłku lepiej strawię alkohol.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Syty posiłek jedynie spowalnia moment</w:t>
      </w:r>
      <w:r w:rsidR="00A42F86" w:rsidRPr="00A42F86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wchłaniani</w:t>
      </w:r>
      <w:r w:rsidR="00A42F86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a alkoholu</w:t>
      </w:r>
      <w:r w:rsidR="00A42F86" w:rsidRPr="00A42F86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w przewodzie pokarmowym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.</w:t>
      </w:r>
      <w:r w:rsidR="00A42F86" w:rsidRPr="00A42F86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 xml:space="preserve"> Obecność pokarmu w żołądku opóźnia szybki transport etanolu (alkoholu etylowego) do jelita cienkiego, gdzie alkohol jest wchłaniany w szybszym tempie. W efekcie stężenie alkoholu we krwi rośnie wolniej, a objawy upojenia pojawiają się później. Nie oznacza to, że jedzenie neutralizuje działanie etanolu albo spowoduje, że „zniknie” on z organizmu. Organizm nadal musi go metabolizować.</w:t>
      </w:r>
    </w:p>
    <w:p w14:paraId="568735F8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MIT: Kawa postawi mnie na nogi.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Kawa może chwilowo zwiększyć koncentrację i zmniejszyć senność, ale nie neutralizuje obecności alkoholu w organizmie ani nie przyspiesza jego metabolizmu. Ten proces zachodzi wyłącznie w wątrobie i trwa od kilku do kilkunastu godzin, w zależności od ilości wypitego alkoholu, masy ciała i stanu zdrowia. Lepsze samopoczucie po kofeinie nie oznacza trzeźwości i co ważne, nie poprawia zdolności prowadzenia pojazdów.</w:t>
      </w:r>
    </w:p>
    <w:p w14:paraId="1C2E4097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color w:val="000000"/>
          <w:kern w:val="2"/>
          <w:sz w:val="22"/>
          <w:szCs w:val="22"/>
          <w:lang w:eastAsia="en-US"/>
        </w:rPr>
        <w:t xml:space="preserve">MIT: Alkohol rozgrzewa.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Uczucie ciepła po alkoholu wynika z rozszerzenia naczyń krwionośnych i zwiększonego przepływu krwi tuż pod skórą, a nie z realnego ogrzania organizmu. Efekt ten sprawia, że ciało traci ciepło jeszcze szybciej, sprzyjając wychłodzeniu, szczególnie zimą. Wbrew obiegowej opinii alkohol nie jest więc skutecznym sposobem na rozgrzanie organizmu.</w:t>
      </w:r>
    </w:p>
    <w:p w14:paraId="35709DFF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lastRenderedPageBreak/>
        <w:t>Święta i Nowy Rok to czas spotkań, radości i wspólnego świętowania. W tym okresie pojawia się więcej okazji do wznoszenia toastów i celebracji. Warto jednak pamiętać, że magia tych chwil tkwi w towarzystwie i wspólnych emocjach</w:t>
      </w:r>
      <w:r w:rsidR="00B45393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t xml:space="preserve"> a nie w ilości wypitego alkoholu</w:t>
      </w:r>
      <w:r w:rsidRPr="00F413AB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t xml:space="preserve">. </w:t>
      </w:r>
      <w:r w:rsidR="003E033D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t>Świętujmy</w:t>
      </w:r>
      <w:r w:rsidRPr="00F413AB">
        <w:rPr>
          <w:rFonts w:ascii="Calibri" w:eastAsia="Aptos" w:hAnsi="Calibri" w:cs="Calibri"/>
          <w:b/>
          <w:bCs/>
          <w:i/>
          <w:iCs/>
          <w:color w:val="000000"/>
          <w:kern w:val="2"/>
          <w:sz w:val="22"/>
          <w:szCs w:val="22"/>
          <w:lang w:eastAsia="en-US"/>
        </w:rPr>
        <w:t xml:space="preserve"> odpowiedzialnie, z umiarem i dobrym nastrojem </w:t>
      </w:r>
      <w:r w:rsidRPr="00F413AB">
        <w:rPr>
          <w:rFonts w:ascii="Calibri" w:eastAsia="Aptos" w:hAnsi="Calibri" w:cs="Calibri"/>
          <w:color w:val="000000"/>
          <w:kern w:val="2"/>
          <w:sz w:val="22"/>
          <w:szCs w:val="22"/>
          <w:lang w:eastAsia="en-US"/>
        </w:rPr>
        <w:t>– mówi Karol Stec, Prezes Zarządu Związku Pracodawców Polski Przemysł Spirytusowy (ZP PPS).</w:t>
      </w:r>
    </w:p>
    <w:p w14:paraId="3C6A21DE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 xml:space="preserve">Młodzi dorośli </w:t>
      </w:r>
      <w:r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>częściej powielają</w:t>
      </w:r>
      <w:r w:rsidRPr="00F413A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 xml:space="preserve"> fałszywe przekonania</w:t>
      </w:r>
    </w:p>
    <w:p w14:paraId="4EA22082" w14:textId="77777777" w:rsidR="00F413AB" w:rsidRPr="00DB1C39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Badanie zrealizowane przez OPB Ariadna w ramach kampanii „Alkomity” pokazuje, że </w:t>
      </w:r>
      <w:r>
        <w:rPr>
          <w:rFonts w:ascii="Calibri" w:eastAsia="Aptos" w:hAnsi="Calibri" w:cs="Calibri"/>
          <w:kern w:val="2"/>
          <w:sz w:val="22"/>
          <w:szCs w:val="22"/>
          <w:lang w:eastAsia="en-US"/>
        </w:rPr>
        <w:t>wśród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 młodych dorosłych (18–24 lata) błędne przekonania na temat alkoholu pojawiają się szczególnie często. W tej grupie aż</w:t>
      </w:r>
      <w:r>
        <w:rPr>
          <w:rFonts w:ascii="Calibri" w:eastAsia="Aptos" w:hAnsi="Calibri" w:cs="Calibri"/>
          <w:kern w:val="2"/>
          <w:sz w:val="22"/>
          <w:szCs w:val="22"/>
          <w:lang w:eastAsia="en-US"/>
        </w:rPr>
        <w:t> 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>29% respondentów uważa, że piwo nie jest alkoholem, podczas gdy w całej populacji odsetek ten wynosi 15%. Istotna różnica występuje także w postrzeganiu ryzyka związanego ze spożyciem piwa. 32% młodych uważa, że piwem „nie da się upić” w porównaniu do 18% ogółu badanych i podobnie, 24% z nich zakłada, że</w:t>
      </w:r>
      <w:r>
        <w:rPr>
          <w:rFonts w:ascii="Calibri" w:eastAsia="Aptos" w:hAnsi="Calibri" w:cs="Calibri"/>
          <w:kern w:val="2"/>
          <w:sz w:val="22"/>
          <w:szCs w:val="22"/>
          <w:lang w:eastAsia="en-US"/>
        </w:rPr>
        <w:t> 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można je pić częściej i w większych ilościach bez ryzyka uzależnienia wobec 18% całej badanej grupy. Młodzi dorośli częściej postrzegają piwo jako mniej szkodliwe niż inne napoje alkoholowe. Takiego zdania jest 38% respondentów młodych dorosłych w porównaniu do 24% wszystkich badanych. Co istotne, 26% osób w wieku 18–24 lat nie zdaje sobie sprawy, że każdy napój alkoholowy, piwo, wino, wódka czy whisky, zawiera tę samą substancję psychoaktywną, czyli etanol. Wyniki te wyraźnie wskazują, jak </w:t>
      </w:r>
      <w:r w:rsidRPr="00DB1C39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>ważna jest edukacja wśród młodych pełnoletnich konsumentów i prostowanie szkodliwych mitów dotyczących alkoholu.</w:t>
      </w:r>
    </w:p>
    <w:p w14:paraId="3CC5F36B" w14:textId="777022CC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>Czy to święta, czy nie święta: #Alko</w:t>
      </w:r>
      <w:r w:rsidR="00CD0FD4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>ToA</w:t>
      </w:r>
      <w:r w:rsidRPr="00F413AB">
        <w:rPr>
          <w:rFonts w:ascii="Calibri" w:eastAsia="Aptos" w:hAnsi="Calibri" w:cs="Calibri"/>
          <w:b/>
          <w:bCs/>
          <w:kern w:val="2"/>
          <w:sz w:val="22"/>
          <w:szCs w:val="22"/>
          <w:lang w:eastAsia="en-US"/>
        </w:rPr>
        <w:t xml:space="preserve">lko </w:t>
      </w:r>
    </w:p>
    <w:p w14:paraId="111821B2" w14:textId="77777777" w:rsid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Jedną z przyczyn powszechności mitów jest mylne postrzeganie „mocy” </w:t>
      </w:r>
      <w:r w:rsidR="00B935CE">
        <w:rPr>
          <w:rFonts w:ascii="Calibri" w:eastAsia="Aptos" w:hAnsi="Calibri" w:cs="Calibri"/>
          <w:kern w:val="2"/>
          <w:sz w:val="22"/>
          <w:szCs w:val="22"/>
          <w:lang w:eastAsia="en-US"/>
        </w:rPr>
        <w:t>różnych trunków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, podczas gdy o działaniu </w:t>
      </w:r>
      <w:r w:rsidR="00B935CE">
        <w:rPr>
          <w:rFonts w:ascii="Calibri" w:eastAsia="Aptos" w:hAnsi="Calibri" w:cs="Calibri"/>
          <w:kern w:val="2"/>
          <w:sz w:val="22"/>
          <w:szCs w:val="22"/>
          <w:lang w:eastAsia="en-US"/>
        </w:rPr>
        <w:t>danego napoju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 decyduje ilość </w:t>
      </w:r>
      <w:r w:rsidR="00B935CE">
        <w:rPr>
          <w:rFonts w:ascii="Calibri" w:eastAsia="Aptos" w:hAnsi="Calibri" w:cs="Calibri"/>
          <w:kern w:val="2"/>
          <w:sz w:val="22"/>
          <w:szCs w:val="22"/>
          <w:lang w:eastAsia="en-US"/>
        </w:rPr>
        <w:t>zawartego w nim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 etanolu. W ramach kampanii „Alkomity” powstało proste równanie, które ułatwia porównanie porcji: półlitrowe piwo 5%, dwa kieliszki wódki 40% po</w:t>
      </w:r>
      <w:r>
        <w:rPr>
          <w:rFonts w:ascii="Calibri" w:eastAsia="Aptos" w:hAnsi="Calibri" w:cs="Calibri"/>
          <w:kern w:val="2"/>
          <w:sz w:val="22"/>
          <w:szCs w:val="22"/>
          <w:lang w:eastAsia="en-US"/>
        </w:rPr>
        <w:t> </w:t>
      </w: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 xml:space="preserve">30 ml oraz dwie lampki wina 12% po 100 ml dostarczają zbliżoną dawkę, tj. około 20 gramów czystego alkoholu. </w:t>
      </w:r>
    </w:p>
    <w:p w14:paraId="65D16AA0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F413AB">
        <w:rPr>
          <w:rFonts w:ascii="Calibri" w:eastAsia="Aptos" w:hAnsi="Calibri" w:cs="Calibri"/>
          <w:kern w:val="2"/>
          <w:sz w:val="22"/>
          <w:szCs w:val="22"/>
          <w:lang w:eastAsia="en-US"/>
        </w:rPr>
        <w:t>Jak podkreśla Karol Stec, prezes ZP PPS: </w:t>
      </w:r>
      <w:r w:rsidRPr="00F413AB"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  <w:t>Niezależnie od tego, czy ktoś sięga po piwo, wino czy wódkę, spożywa tę samą substancję, alkohol etylowy. To jego ilość, a nie rodzaj napoju, decyduje o wpływie na</w:t>
      </w:r>
      <w:r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  <w:t> </w:t>
      </w:r>
      <w:r w:rsidRPr="00F413AB"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  <w:t>organizm. Dlatego przypominamy: alkohol to alkohol, #alkotoalko! Liczmy porcje etanolu, a nie kieliszki czy</w:t>
      </w:r>
      <w:r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  <w:t> </w:t>
      </w:r>
      <w:r w:rsidRPr="00F413AB"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  <w:t xml:space="preserve">kufle. </w:t>
      </w:r>
    </w:p>
    <w:p w14:paraId="2DF46879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i/>
          <w:iCs/>
          <w:kern w:val="2"/>
          <w:sz w:val="22"/>
          <w:szCs w:val="22"/>
          <w:lang w:eastAsia="en-US"/>
        </w:rPr>
      </w:pPr>
    </w:p>
    <w:p w14:paraId="1458B676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0"/>
          <w:u w:val="single"/>
          <w:lang w:eastAsia="en-US"/>
        </w:rPr>
      </w:pPr>
      <w:r w:rsidRPr="00F413AB">
        <w:rPr>
          <w:rFonts w:ascii="Calibri" w:eastAsia="Aptos" w:hAnsi="Calibri" w:cs="Calibri"/>
          <w:kern w:val="2"/>
          <w:sz w:val="20"/>
          <w:u w:val="single"/>
          <w:lang w:eastAsia="en-US"/>
        </w:rPr>
        <w:t>Kontakt dla mediów:</w:t>
      </w:r>
    </w:p>
    <w:p w14:paraId="2A5C91CE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0"/>
          <w:lang w:eastAsia="en-US"/>
        </w:rPr>
      </w:pPr>
      <w:r w:rsidRPr="00F413AB">
        <w:rPr>
          <w:rFonts w:ascii="Calibri" w:eastAsia="Aptos" w:hAnsi="Calibri" w:cs="Calibri"/>
          <w:kern w:val="2"/>
          <w:sz w:val="20"/>
          <w:lang w:eastAsia="en-US"/>
        </w:rPr>
        <w:t>Karol Stec</w:t>
      </w:r>
    </w:p>
    <w:p w14:paraId="3C524382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0"/>
          <w:lang w:eastAsia="en-US"/>
        </w:rPr>
      </w:pPr>
      <w:r w:rsidRPr="00F413AB">
        <w:rPr>
          <w:rFonts w:ascii="Calibri" w:eastAsia="Aptos" w:hAnsi="Calibri" w:cs="Calibri"/>
          <w:kern w:val="2"/>
          <w:sz w:val="20"/>
          <w:lang w:eastAsia="en-US"/>
        </w:rPr>
        <w:t>k.stec@zppps.pl</w:t>
      </w:r>
    </w:p>
    <w:p w14:paraId="3AF4AA7E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kern w:val="2"/>
          <w:sz w:val="20"/>
          <w:lang w:eastAsia="en-US"/>
        </w:rPr>
      </w:pPr>
      <w:r w:rsidRPr="00F413AB">
        <w:rPr>
          <w:rFonts w:ascii="Calibri" w:eastAsia="Aptos" w:hAnsi="Calibri" w:cs="Calibri"/>
          <w:kern w:val="2"/>
          <w:sz w:val="20"/>
          <w:lang w:eastAsia="en-US"/>
        </w:rPr>
        <w:t>tel. 503 099 073</w:t>
      </w:r>
    </w:p>
    <w:p w14:paraId="573D7C90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</w:pPr>
    </w:p>
    <w:p w14:paraId="6CE08384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  <w:t>O projekcie:</w:t>
      </w:r>
    </w:p>
    <w:p w14:paraId="7C224BAC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  <w:t>Projekt edukacyjny „Alkomity” stawia na edukację i obala najczęściej powtarzane przekonania o napojach alkoholowych. Główne hasło – #AlkoToAlko – przypomina, że każda forma alkoholu: piwo, wino, wódka, czy whisky, zawiera tę samą substancję – etanol. Więcej informacji na temat na stronie: alkomity.pl</w:t>
      </w:r>
    </w:p>
    <w:p w14:paraId="4ABDF4E7" w14:textId="77777777" w:rsidR="00F413AB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  <w:t xml:space="preserve">O badaniu: </w:t>
      </w:r>
    </w:p>
    <w:p w14:paraId="74691FA6" w14:textId="77777777" w:rsidR="00E208F7" w:rsidRPr="00F413AB" w:rsidRDefault="00F413AB" w:rsidP="00F413AB">
      <w:pPr>
        <w:suppressAutoHyphens w:val="0"/>
        <w:overflowPunct/>
        <w:autoSpaceDE/>
        <w:spacing w:after="240"/>
        <w:jc w:val="both"/>
        <w:rPr>
          <w:rFonts w:ascii="Calibri" w:eastAsia="Aptos" w:hAnsi="Calibri" w:cs="Calibri"/>
          <w:b/>
          <w:bCs/>
          <w:kern w:val="2"/>
          <w:sz w:val="20"/>
          <w:lang w:eastAsia="en-US"/>
        </w:rPr>
      </w:pPr>
      <w:r w:rsidRPr="00F413AB">
        <w:rPr>
          <w:rFonts w:ascii="Calibri" w:eastAsia="Aptos" w:hAnsi="Calibri" w:cs="Calibri"/>
          <w:b/>
          <w:bCs/>
          <w:kern w:val="2"/>
          <w:sz w:val="21"/>
          <w:szCs w:val="21"/>
          <w:lang w:eastAsia="en-US"/>
        </w:rPr>
        <w:lastRenderedPageBreak/>
        <w:t xml:space="preserve">Badanie przeprowadzono metodą CAWI w kwietniu 2025 na Ogólnopolskim Panelu Badawczym Ariadna na </w:t>
      </w:r>
      <w:r w:rsidRPr="00F413AB">
        <w:rPr>
          <w:rFonts w:ascii="Calibri" w:eastAsia="Aptos" w:hAnsi="Calibri" w:cs="Calibri"/>
          <w:b/>
          <w:bCs/>
          <w:kern w:val="2"/>
          <w:sz w:val="20"/>
          <w:lang w:eastAsia="en-US"/>
        </w:rPr>
        <w:t>reprezentatywnej próbie ogólnopolskiej liczącej N=1104 osoby w wieku od 18 lat wzwyż.</w:t>
      </w:r>
    </w:p>
    <w:p w14:paraId="7FF02C6B" w14:textId="77777777" w:rsidR="00647FFA" w:rsidRDefault="00647FFA" w:rsidP="00647FFA">
      <w:pPr>
        <w:suppressAutoHyphens w:val="0"/>
        <w:overflowPunct/>
        <w:autoSpaceDE/>
        <w:spacing w:before="120" w:after="120"/>
        <w:ind w:firstLine="708"/>
        <w:rPr>
          <w:rFonts w:ascii="Calibri" w:hAnsi="Calibri" w:cs="Calibri"/>
          <w:color w:val="000000"/>
          <w:sz w:val="22"/>
          <w:szCs w:val="22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> </w:t>
      </w:r>
    </w:p>
    <w:p w14:paraId="3BE51482" w14:textId="77777777" w:rsidR="00D6465B" w:rsidRDefault="00D6465B" w:rsidP="00647FFA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***</w:t>
      </w:r>
    </w:p>
    <w:p w14:paraId="5E50A102" w14:textId="77777777" w:rsidR="00D6465B" w:rsidRDefault="00D6465B" w:rsidP="00647FFA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63DA523" w14:textId="77777777" w:rsidR="00FF156B" w:rsidRPr="00194DE9" w:rsidRDefault="00D6465B" w:rsidP="00106ECD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Związek Pracodawców Polski Przemysł Spirytusowy</w:t>
      </w:r>
      <w:r>
        <w:rPr>
          <w:rFonts w:ascii="Calibri" w:hAnsi="Calibri" w:cs="Calibri"/>
          <w:color w:val="000000"/>
          <w:sz w:val="22"/>
          <w:szCs w:val="22"/>
        </w:rPr>
        <w:t xml:space="preserve"> (ZP PPS) to dobrowolna, samorządna i samofinansująca się organizacja branżowa, zrzeszająca 90% rynku mocnych alkoholi w Polsce, reprezentując zarówno międzynarodowe korporacje, jak i małe i średnie przedsiębiorstwa. Misją Związku jest wspieranie zrównoważonego rozwoju sektora spirytusowego, który pozytywnie wpływa na gospodarkę i rolnictwo. Branża spirytusowa generuje 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rocznie </w:t>
      </w:r>
      <w:r>
        <w:rPr>
          <w:rFonts w:ascii="Calibri" w:hAnsi="Calibri" w:cs="Calibri"/>
          <w:color w:val="000000"/>
          <w:sz w:val="22"/>
          <w:szCs w:val="22"/>
        </w:rPr>
        <w:t>2</w:t>
      </w:r>
      <w:r w:rsidR="00FF156B">
        <w:rPr>
          <w:rFonts w:ascii="Calibri" w:hAnsi="Calibri" w:cs="Calibri"/>
          <w:color w:val="000000"/>
          <w:sz w:val="22"/>
          <w:szCs w:val="22"/>
        </w:rPr>
        <w:t>5,7</w:t>
      </w:r>
      <w:r w:rsidR="00D67DF2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mld</w:t>
      </w:r>
      <w:r w:rsidR="00D67DF2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zł wartości PKB, będąc jednym z istotnych sektorów przemysłowych w Polsce. </w:t>
      </w:r>
      <w:r w:rsidR="00D67DF2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>atrudnia bezpośrednio około 4,</w:t>
      </w:r>
      <w:r w:rsidR="00FF156B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 xml:space="preserve"> tys. osób, </w:t>
      </w:r>
      <w:r w:rsidR="00D67DF2">
        <w:rPr>
          <w:rFonts w:ascii="Calibri" w:hAnsi="Calibri" w:cs="Calibri"/>
          <w:color w:val="000000"/>
          <w:sz w:val="22"/>
          <w:szCs w:val="22"/>
        </w:rPr>
        <w:t>a dzięki powiązaniom z innymi gałęziami gospodarki zapewnia łącznie blisko 8</w:t>
      </w:r>
      <w:r w:rsidR="00FF156B">
        <w:rPr>
          <w:rFonts w:ascii="Calibri" w:hAnsi="Calibri" w:cs="Calibri"/>
          <w:color w:val="000000"/>
          <w:sz w:val="22"/>
          <w:szCs w:val="22"/>
        </w:rPr>
        <w:t>6,8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 tys. miejsc pracy. Każdego</w:t>
      </w:r>
      <w:r>
        <w:rPr>
          <w:rFonts w:ascii="Calibri" w:hAnsi="Calibri" w:cs="Calibri"/>
          <w:color w:val="000000"/>
          <w:sz w:val="22"/>
          <w:szCs w:val="22"/>
        </w:rPr>
        <w:t xml:space="preserve"> roku przemysł </w:t>
      </w:r>
      <w:r w:rsidR="00D67DF2">
        <w:rPr>
          <w:rFonts w:ascii="Calibri" w:hAnsi="Calibri" w:cs="Calibri"/>
          <w:color w:val="000000"/>
          <w:sz w:val="22"/>
          <w:szCs w:val="22"/>
        </w:rPr>
        <w:t>spirytusowy</w:t>
      </w:r>
      <w:r>
        <w:rPr>
          <w:rFonts w:ascii="Calibri" w:hAnsi="Calibri" w:cs="Calibri"/>
          <w:color w:val="000000"/>
          <w:sz w:val="22"/>
          <w:szCs w:val="22"/>
        </w:rPr>
        <w:t xml:space="preserve"> przetwarza 1,</w:t>
      </w:r>
      <w:r w:rsidR="00FF156B">
        <w:rPr>
          <w:rFonts w:ascii="Calibri" w:hAnsi="Calibri" w:cs="Calibri"/>
          <w:color w:val="000000"/>
          <w:sz w:val="22"/>
          <w:szCs w:val="22"/>
        </w:rPr>
        <w:t>6</w:t>
      </w:r>
      <w:r>
        <w:rPr>
          <w:rFonts w:ascii="Calibri" w:hAnsi="Calibri" w:cs="Calibri"/>
          <w:color w:val="000000"/>
          <w:sz w:val="22"/>
          <w:szCs w:val="22"/>
        </w:rPr>
        <w:t xml:space="preserve"> mln ton zbóż, w tym </w:t>
      </w:r>
      <w:r w:rsidR="00FF156B">
        <w:rPr>
          <w:rFonts w:ascii="Calibri" w:hAnsi="Calibri" w:cs="Calibri"/>
          <w:color w:val="000000"/>
          <w:sz w:val="22"/>
          <w:szCs w:val="22"/>
        </w:rPr>
        <w:t>954</w:t>
      </w:r>
      <w:r>
        <w:rPr>
          <w:rFonts w:ascii="Calibri" w:hAnsi="Calibri" w:cs="Calibri"/>
          <w:color w:val="000000"/>
          <w:sz w:val="22"/>
          <w:szCs w:val="22"/>
        </w:rPr>
        <w:t xml:space="preserve"> tys. ton kukurydzy oraz </w:t>
      </w:r>
      <w:r w:rsidR="00FF156B">
        <w:rPr>
          <w:rFonts w:ascii="Calibri" w:hAnsi="Calibri" w:cs="Calibri"/>
          <w:color w:val="000000"/>
          <w:sz w:val="22"/>
          <w:szCs w:val="22"/>
        </w:rPr>
        <w:t>38</w:t>
      </w:r>
      <w:r>
        <w:rPr>
          <w:rFonts w:ascii="Calibri" w:hAnsi="Calibri" w:cs="Calibri"/>
          <w:color w:val="000000"/>
          <w:sz w:val="22"/>
          <w:szCs w:val="22"/>
        </w:rPr>
        <w:t xml:space="preserve"> tys. ton ziemniaków.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Eksport polskich wyrobów spirytusowych osiąga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wartość 2,</w:t>
      </w:r>
      <w:r w:rsidR="00FF156B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 xml:space="preserve"> mld zł rocznie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F156B" w:rsidRPr="00194DE9">
        <w:rPr>
          <w:rFonts w:ascii="Calibri" w:hAnsi="Calibri" w:cs="Calibri"/>
          <w:color w:val="000000"/>
          <w:sz w:val="22"/>
          <w:szCs w:val="22"/>
        </w:rPr>
        <w:t xml:space="preserve">Od 2008 roku ZP PPS we współpracy z partnerami społecznymi prowadzi działania edukacyjne na rzecz odpowiedzialnego spożywania alkoholu wśród dorosłych Polaków. W 2025 r. zainicjowała kampanię „Alkomity”, która przypomina, że każda forma alkoholu: piwo, wino, wódka czy whisky zawiera tę samą substancję – etanol. Oszacowanie mocy tych popularnych trunków umożliwia równanie: 2 kieliszki wódki 40% po 30 ml zawierają tyle samo etanolu (20 gramów), co 2 kieliszki wina 12% o poj. 100 ml czy jedno duże piwo </w:t>
      </w:r>
      <w:r w:rsidR="00762081">
        <w:rPr>
          <w:rFonts w:ascii="Calibri" w:hAnsi="Calibri" w:cs="Calibri"/>
          <w:color w:val="000000"/>
          <w:sz w:val="22"/>
          <w:szCs w:val="22"/>
        </w:rPr>
        <w:t xml:space="preserve">(500 ml) </w:t>
      </w:r>
      <w:r w:rsidR="00FF156B" w:rsidRPr="00194DE9">
        <w:rPr>
          <w:rFonts w:ascii="Calibri" w:hAnsi="Calibri" w:cs="Calibri"/>
          <w:color w:val="000000"/>
          <w:sz w:val="22"/>
          <w:szCs w:val="22"/>
        </w:rPr>
        <w:t>o mocy 5%. Świadomość, co i w jakich ilościach konsumujemy, jest niezbędna do podejmowania rozsądnych decyzji. Celem organizacji jest także kreowanie pozytywnego wizerunku polskich produktów spirytusowych w Polsce i na świecie oraz kultywowanie tradycji produkcyjnych kształtowanych na przestrzeni kilkuset lat.</w:t>
      </w:r>
    </w:p>
    <w:p w14:paraId="15F520A2" w14:textId="77777777" w:rsidR="00FF156B" w:rsidRDefault="00FF156B" w:rsidP="00647FFA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FF156B" w:rsidSect="00E26F30">
      <w:headerReference w:type="default" r:id="rId9"/>
      <w:footerReference w:type="default" r:id="rId10"/>
      <w:type w:val="continuous"/>
      <w:pgSz w:w="11906" w:h="16838" w:code="9"/>
      <w:pgMar w:top="1971" w:right="1021" w:bottom="567" w:left="1021" w:header="390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6F0F" w14:textId="77777777" w:rsidR="00326C3F" w:rsidRDefault="00326C3F">
      <w:r>
        <w:separator/>
      </w:r>
    </w:p>
  </w:endnote>
  <w:endnote w:type="continuationSeparator" w:id="0">
    <w:p w14:paraId="36555FA4" w14:textId="77777777" w:rsidR="00326C3F" w:rsidRDefault="0032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37F8" w14:textId="77777777" w:rsidR="00EB0800" w:rsidRDefault="00EB0800" w:rsidP="00B43B7F"/>
  <w:p w14:paraId="3946CBD5" w14:textId="77777777" w:rsidR="00EB0800" w:rsidRPr="00BF6C6E" w:rsidRDefault="00EB0800" w:rsidP="00B43B7F">
    <w:pPr>
      <w:pBdr>
        <w:top w:val="single" w:sz="4" w:space="1" w:color="auto"/>
      </w:pBdr>
      <w:rPr>
        <w:color w:val="808080"/>
        <w:sz w:val="16"/>
        <w:szCs w:val="16"/>
      </w:rPr>
    </w:pPr>
    <w:r>
      <w:rPr>
        <w:sz w:val="16"/>
        <w:szCs w:val="16"/>
      </w:rPr>
      <w:t xml:space="preserve"> </w:t>
    </w:r>
  </w:p>
  <w:p w14:paraId="6C0680B2" w14:textId="77777777" w:rsidR="00EB0800" w:rsidRDefault="00EB0800" w:rsidP="00B43B7F">
    <w:pPr>
      <w:rPr>
        <w:color w:val="5F5F5F"/>
        <w:sz w:val="16"/>
      </w:rPr>
    </w:pPr>
    <w:r w:rsidRPr="007A55A7">
      <w:rPr>
        <w:color w:val="5F5F5F"/>
        <w:sz w:val="16"/>
      </w:rPr>
      <w:t xml:space="preserve">                                                                                          </w:t>
    </w:r>
    <w:r>
      <w:rPr>
        <w:color w:val="5F5F5F"/>
        <w:sz w:val="16"/>
      </w:rPr>
      <w:t xml:space="preserve">                                                                                        </w:t>
    </w:r>
    <w:r w:rsidRPr="007A55A7">
      <w:rPr>
        <w:color w:val="5F5F5F"/>
        <w:sz w:val="16"/>
      </w:rPr>
      <w:t xml:space="preserve">  </w:t>
    </w:r>
    <w:r>
      <w:rPr>
        <w:color w:val="5F5F5F"/>
        <w:sz w:val="16"/>
      </w:rPr>
      <w:t xml:space="preserve">                                     </w:t>
    </w:r>
  </w:p>
  <w:p w14:paraId="50842719" w14:textId="77777777" w:rsidR="00EB0800" w:rsidRDefault="00ED02D6" w:rsidP="00B43B7F">
    <w:pPr>
      <w:rPr>
        <w:color w:val="5F5F5F"/>
        <w:sz w:val="16"/>
      </w:rPr>
    </w:pPr>
    <w:r>
      <w:rPr>
        <w:color w:val="5F5F5F"/>
        <w:sz w:val="16"/>
      </w:rPr>
      <w:t>Związek Pracodawców Polski Przemysł Spirytusowy</w:t>
    </w:r>
    <w:r w:rsidR="00EB0800">
      <w:rPr>
        <w:color w:val="5F5F5F"/>
        <w:sz w:val="16"/>
      </w:rPr>
      <w:t xml:space="preserve">                                                                                                      </w:t>
    </w:r>
  </w:p>
  <w:p w14:paraId="78DCBC46" w14:textId="77777777" w:rsidR="00EB0800" w:rsidRDefault="001B259A" w:rsidP="00B43B7F">
    <w:pPr>
      <w:rPr>
        <w:color w:val="5F5F5F"/>
        <w:sz w:val="16"/>
      </w:rPr>
    </w:pPr>
    <w:r>
      <w:rPr>
        <w:color w:val="5F5F5F"/>
        <w:sz w:val="16"/>
      </w:rPr>
      <w:t>00 - 074</w:t>
    </w:r>
    <w:r w:rsidR="00EB0800">
      <w:rPr>
        <w:color w:val="5F5F5F"/>
        <w:sz w:val="16"/>
      </w:rPr>
      <w:t xml:space="preserve"> Warszawa, ul. </w:t>
    </w:r>
    <w:r>
      <w:rPr>
        <w:color w:val="5F5F5F"/>
        <w:sz w:val="16"/>
      </w:rPr>
      <w:t xml:space="preserve">Trębacka 4, lok. </w:t>
    </w:r>
    <w:r w:rsidR="00FD7DCF">
      <w:rPr>
        <w:color w:val="5F5F5F"/>
        <w:sz w:val="16"/>
      </w:rPr>
      <w:t>111</w:t>
    </w:r>
    <w:r>
      <w:rPr>
        <w:color w:val="5F5F5F"/>
        <w:sz w:val="16"/>
      </w:rPr>
      <w:tab/>
    </w:r>
    <w:r>
      <w:rPr>
        <w:color w:val="5F5F5F"/>
        <w:sz w:val="16"/>
      </w:rPr>
      <w:tab/>
    </w:r>
    <w:r>
      <w:rPr>
        <w:color w:val="5F5F5F"/>
        <w:sz w:val="16"/>
      </w:rPr>
      <w:tab/>
      <w:t xml:space="preserve">            </w:t>
    </w:r>
  </w:p>
  <w:p w14:paraId="472FD399" w14:textId="77777777" w:rsidR="001B259A" w:rsidRDefault="001B259A" w:rsidP="001B259A">
    <w:pPr>
      <w:tabs>
        <w:tab w:val="left" w:pos="6345"/>
      </w:tabs>
      <w:rPr>
        <w:color w:val="5F5F5F"/>
        <w:sz w:val="16"/>
      </w:rPr>
    </w:pPr>
    <w:r>
      <w:rPr>
        <w:color w:val="5F5F5F"/>
        <w:sz w:val="16"/>
      </w:rPr>
      <w:t xml:space="preserve">tel.: (022) 630 9891-4                                                                                                         </w:t>
    </w:r>
  </w:p>
  <w:p w14:paraId="10D56C54" w14:textId="77777777" w:rsidR="00EB0800" w:rsidRPr="00BF6C6E" w:rsidRDefault="00EB0800" w:rsidP="00B43B7F">
    <w:pPr>
      <w:rPr>
        <w:color w:val="292929"/>
        <w:sz w:val="16"/>
      </w:rPr>
    </w:pPr>
    <w:proofErr w:type="gramStart"/>
    <w:r w:rsidRPr="00BF6C6E">
      <w:rPr>
        <w:color w:val="5F5F5F"/>
        <w:sz w:val="16"/>
      </w:rPr>
      <w:t>e-mail:</w:t>
    </w:r>
    <w:r w:rsidR="001B259A">
      <w:rPr>
        <w:color w:val="5F5F5F"/>
        <w:sz w:val="16"/>
      </w:rPr>
      <w:t>biuro@</w:t>
    </w:r>
    <w:r w:rsidR="00FD7DCF">
      <w:rPr>
        <w:color w:val="5F5F5F"/>
        <w:sz w:val="16"/>
      </w:rPr>
      <w:t>zppps.</w:t>
    </w:r>
    <w:r w:rsidR="001B259A">
      <w:rPr>
        <w:color w:val="5F5F5F"/>
        <w:sz w:val="16"/>
      </w:rPr>
      <w:t>pl</w:t>
    </w:r>
    <w:proofErr w:type="gramEnd"/>
    <w:r w:rsidR="001B259A">
      <w:rPr>
        <w:color w:val="5F5F5F"/>
        <w:sz w:val="16"/>
      </w:rPr>
      <w:tab/>
    </w:r>
    <w:r w:rsidR="001B259A">
      <w:rPr>
        <w:color w:val="5F5F5F"/>
        <w:sz w:val="16"/>
      </w:rPr>
      <w:tab/>
    </w:r>
    <w:r w:rsidR="001B259A">
      <w:rPr>
        <w:color w:val="5F5F5F"/>
        <w:sz w:val="16"/>
      </w:rPr>
      <w:tab/>
      <w:t xml:space="preserve">          </w:t>
    </w:r>
    <w:r w:rsidRPr="00BF6C6E">
      <w:rPr>
        <w:color w:val="5F5F5F"/>
        <w:sz w:val="16"/>
      </w:rPr>
      <w:t xml:space="preserve">                          </w:t>
    </w:r>
    <w:r>
      <w:rPr>
        <w:color w:val="5F5F5F"/>
        <w:sz w:val="16"/>
      </w:rPr>
      <w:t xml:space="preserve">                        </w:t>
    </w:r>
  </w:p>
  <w:p w14:paraId="66A97A86" w14:textId="77777777" w:rsidR="00EB0800" w:rsidRDefault="00EB0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C113" w14:textId="77777777" w:rsidR="00326C3F" w:rsidRDefault="00326C3F">
      <w:r>
        <w:separator/>
      </w:r>
    </w:p>
  </w:footnote>
  <w:footnote w:type="continuationSeparator" w:id="0">
    <w:p w14:paraId="4128E25A" w14:textId="77777777" w:rsidR="00326C3F" w:rsidRDefault="0032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C7F2" w14:textId="77777777" w:rsidR="00023D38" w:rsidRDefault="00081A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7E95A8A" wp14:editId="3E432D9C">
          <wp:simplePos x="0" y="0"/>
          <wp:positionH relativeFrom="column">
            <wp:posOffset>0</wp:posOffset>
          </wp:positionH>
          <wp:positionV relativeFrom="paragraph">
            <wp:posOffset>-204470</wp:posOffset>
          </wp:positionV>
          <wp:extent cx="2066925" cy="1143000"/>
          <wp:effectExtent l="0" t="0" r="0" b="0"/>
          <wp:wrapSquare wrapText="right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31" t="66324" r="34921" b="2090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4584B02"/>
    <w:multiLevelType w:val="multilevel"/>
    <w:tmpl w:val="9A10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17325"/>
    <w:multiLevelType w:val="hybridMultilevel"/>
    <w:tmpl w:val="EC7CD8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3417F"/>
    <w:multiLevelType w:val="hybridMultilevel"/>
    <w:tmpl w:val="BE3A57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B7852FB"/>
    <w:multiLevelType w:val="hybridMultilevel"/>
    <w:tmpl w:val="684E06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0759"/>
    <w:multiLevelType w:val="hybridMultilevel"/>
    <w:tmpl w:val="432087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734D0"/>
    <w:multiLevelType w:val="hybridMultilevel"/>
    <w:tmpl w:val="A6661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97114"/>
    <w:multiLevelType w:val="hybridMultilevel"/>
    <w:tmpl w:val="77C2D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B0489"/>
    <w:multiLevelType w:val="hybridMultilevel"/>
    <w:tmpl w:val="FA9A95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E06D1"/>
    <w:multiLevelType w:val="hybridMultilevel"/>
    <w:tmpl w:val="41D274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675645">
    <w:abstractNumId w:val="4"/>
  </w:num>
  <w:num w:numId="2" w16cid:durableId="32508400">
    <w:abstractNumId w:val="8"/>
  </w:num>
  <w:num w:numId="3" w16cid:durableId="1769347503">
    <w:abstractNumId w:val="2"/>
  </w:num>
  <w:num w:numId="4" w16cid:durableId="355278769">
    <w:abstractNumId w:val="9"/>
  </w:num>
  <w:num w:numId="5" w16cid:durableId="1885169100">
    <w:abstractNumId w:val="7"/>
  </w:num>
  <w:num w:numId="6" w16cid:durableId="393966733">
    <w:abstractNumId w:val="5"/>
  </w:num>
  <w:num w:numId="7" w16cid:durableId="526914597">
    <w:abstractNumId w:val="0"/>
  </w:num>
  <w:num w:numId="8" w16cid:durableId="2026637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557490">
    <w:abstractNumId w:val="1"/>
  </w:num>
  <w:num w:numId="10" w16cid:durableId="2083407605">
    <w:abstractNumId w:val="3"/>
  </w:num>
  <w:num w:numId="11" w16cid:durableId="1573812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F8"/>
    <w:rsid w:val="0000041A"/>
    <w:rsid w:val="00023D38"/>
    <w:rsid w:val="00062194"/>
    <w:rsid w:val="00081872"/>
    <w:rsid w:val="00081AAB"/>
    <w:rsid w:val="000B3AD5"/>
    <w:rsid w:val="000C0767"/>
    <w:rsid w:val="000D18D7"/>
    <w:rsid w:val="0010353E"/>
    <w:rsid w:val="00106ECD"/>
    <w:rsid w:val="00114DA1"/>
    <w:rsid w:val="00126CDF"/>
    <w:rsid w:val="001548DD"/>
    <w:rsid w:val="00162129"/>
    <w:rsid w:val="00193301"/>
    <w:rsid w:val="00196525"/>
    <w:rsid w:val="001967AF"/>
    <w:rsid w:val="001B259A"/>
    <w:rsid w:val="001E6654"/>
    <w:rsid w:val="001F0951"/>
    <w:rsid w:val="00212D2D"/>
    <w:rsid w:val="00226734"/>
    <w:rsid w:val="002328F7"/>
    <w:rsid w:val="00237807"/>
    <w:rsid w:val="002479B6"/>
    <w:rsid w:val="00255FF6"/>
    <w:rsid w:val="0028187B"/>
    <w:rsid w:val="002E4CBA"/>
    <w:rsid w:val="002F5A7A"/>
    <w:rsid w:val="00302DBC"/>
    <w:rsid w:val="00311AA9"/>
    <w:rsid w:val="00313A2B"/>
    <w:rsid w:val="00326C3F"/>
    <w:rsid w:val="00356C9B"/>
    <w:rsid w:val="00357835"/>
    <w:rsid w:val="00374E38"/>
    <w:rsid w:val="0037662C"/>
    <w:rsid w:val="00394547"/>
    <w:rsid w:val="003A159C"/>
    <w:rsid w:val="003C0A4D"/>
    <w:rsid w:val="003D7436"/>
    <w:rsid w:val="003E033D"/>
    <w:rsid w:val="003E1F19"/>
    <w:rsid w:val="00464924"/>
    <w:rsid w:val="00490596"/>
    <w:rsid w:val="00492678"/>
    <w:rsid w:val="004A7CED"/>
    <w:rsid w:val="004B05B5"/>
    <w:rsid w:val="00513EC6"/>
    <w:rsid w:val="005144AA"/>
    <w:rsid w:val="00520620"/>
    <w:rsid w:val="00521E8C"/>
    <w:rsid w:val="0052278B"/>
    <w:rsid w:val="00564627"/>
    <w:rsid w:val="0057494C"/>
    <w:rsid w:val="00595F62"/>
    <w:rsid w:val="005A4309"/>
    <w:rsid w:val="005E7E36"/>
    <w:rsid w:val="006036BB"/>
    <w:rsid w:val="0060765F"/>
    <w:rsid w:val="00611DEE"/>
    <w:rsid w:val="00624EFF"/>
    <w:rsid w:val="00627013"/>
    <w:rsid w:val="00642D13"/>
    <w:rsid w:val="00647FFA"/>
    <w:rsid w:val="00654804"/>
    <w:rsid w:val="006A1576"/>
    <w:rsid w:val="006B0E32"/>
    <w:rsid w:val="006B2D99"/>
    <w:rsid w:val="006B6226"/>
    <w:rsid w:val="006C59F9"/>
    <w:rsid w:val="006D4FC7"/>
    <w:rsid w:val="006E1D71"/>
    <w:rsid w:val="006F0A91"/>
    <w:rsid w:val="00702DC6"/>
    <w:rsid w:val="007040D2"/>
    <w:rsid w:val="0071449F"/>
    <w:rsid w:val="00723F03"/>
    <w:rsid w:val="00745693"/>
    <w:rsid w:val="00762081"/>
    <w:rsid w:val="00780C2B"/>
    <w:rsid w:val="007B5372"/>
    <w:rsid w:val="00807104"/>
    <w:rsid w:val="008249BF"/>
    <w:rsid w:val="00837BC8"/>
    <w:rsid w:val="00843B06"/>
    <w:rsid w:val="00853E0F"/>
    <w:rsid w:val="00873EC3"/>
    <w:rsid w:val="008877E3"/>
    <w:rsid w:val="0089115F"/>
    <w:rsid w:val="008A107D"/>
    <w:rsid w:val="008D5F05"/>
    <w:rsid w:val="0090224C"/>
    <w:rsid w:val="00911A92"/>
    <w:rsid w:val="00913A4E"/>
    <w:rsid w:val="00915097"/>
    <w:rsid w:val="0091750A"/>
    <w:rsid w:val="00934BCA"/>
    <w:rsid w:val="00937D4C"/>
    <w:rsid w:val="00940B4B"/>
    <w:rsid w:val="009846F8"/>
    <w:rsid w:val="009A39B3"/>
    <w:rsid w:val="009B3EC5"/>
    <w:rsid w:val="009E7B40"/>
    <w:rsid w:val="009F6C25"/>
    <w:rsid w:val="00A01057"/>
    <w:rsid w:val="00A34CB0"/>
    <w:rsid w:val="00A42F86"/>
    <w:rsid w:val="00A47101"/>
    <w:rsid w:val="00A54898"/>
    <w:rsid w:val="00A559D9"/>
    <w:rsid w:val="00A91CA9"/>
    <w:rsid w:val="00A96CE5"/>
    <w:rsid w:val="00AC2D0A"/>
    <w:rsid w:val="00AF4546"/>
    <w:rsid w:val="00B1665E"/>
    <w:rsid w:val="00B17BA6"/>
    <w:rsid w:val="00B27A3F"/>
    <w:rsid w:val="00B4116E"/>
    <w:rsid w:val="00B43B7F"/>
    <w:rsid w:val="00B45393"/>
    <w:rsid w:val="00B55BF8"/>
    <w:rsid w:val="00B60656"/>
    <w:rsid w:val="00B66759"/>
    <w:rsid w:val="00B76655"/>
    <w:rsid w:val="00B935CE"/>
    <w:rsid w:val="00BF6C6E"/>
    <w:rsid w:val="00C04BE5"/>
    <w:rsid w:val="00C43A9A"/>
    <w:rsid w:val="00C60BAE"/>
    <w:rsid w:val="00C61005"/>
    <w:rsid w:val="00C62E03"/>
    <w:rsid w:val="00C90C7D"/>
    <w:rsid w:val="00CD0FD4"/>
    <w:rsid w:val="00CD4A6D"/>
    <w:rsid w:val="00CE26AB"/>
    <w:rsid w:val="00D06383"/>
    <w:rsid w:val="00D3107B"/>
    <w:rsid w:val="00D55E76"/>
    <w:rsid w:val="00D6465B"/>
    <w:rsid w:val="00D67DF2"/>
    <w:rsid w:val="00D7760C"/>
    <w:rsid w:val="00DA3074"/>
    <w:rsid w:val="00DB1C39"/>
    <w:rsid w:val="00E05EAD"/>
    <w:rsid w:val="00E065C7"/>
    <w:rsid w:val="00E07B80"/>
    <w:rsid w:val="00E10C98"/>
    <w:rsid w:val="00E208F7"/>
    <w:rsid w:val="00E21AE8"/>
    <w:rsid w:val="00E25ED8"/>
    <w:rsid w:val="00E26E62"/>
    <w:rsid w:val="00E26F30"/>
    <w:rsid w:val="00E5548B"/>
    <w:rsid w:val="00E85E1C"/>
    <w:rsid w:val="00EB0800"/>
    <w:rsid w:val="00EB1F4E"/>
    <w:rsid w:val="00EB6200"/>
    <w:rsid w:val="00EC0F7D"/>
    <w:rsid w:val="00EC2B17"/>
    <w:rsid w:val="00EC50B0"/>
    <w:rsid w:val="00ED02D6"/>
    <w:rsid w:val="00ED7871"/>
    <w:rsid w:val="00EF014B"/>
    <w:rsid w:val="00F03E6D"/>
    <w:rsid w:val="00F2304C"/>
    <w:rsid w:val="00F325CD"/>
    <w:rsid w:val="00F413AB"/>
    <w:rsid w:val="00F440AC"/>
    <w:rsid w:val="00F7178A"/>
    <w:rsid w:val="00F97C39"/>
    <w:rsid w:val="00F97ED8"/>
    <w:rsid w:val="00FA0EC6"/>
    <w:rsid w:val="00FC6EF2"/>
    <w:rsid w:val="00FD290E"/>
    <w:rsid w:val="00FD76B7"/>
    <w:rsid w:val="00FD7DCF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EA66B"/>
  <w15:chartTrackingRefBased/>
  <w15:docId w15:val="{CF70ED20-7C79-1E45-A54E-A0A38D2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5BF8"/>
    <w:pPr>
      <w:suppressAutoHyphens/>
      <w:overflowPunct w:val="0"/>
      <w:autoSpaceDE w:val="0"/>
    </w:pPr>
    <w:rPr>
      <w:rFonts w:ascii="Arial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5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43B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3B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1665E"/>
    <w:pPr>
      <w:widowControl w:val="0"/>
      <w:overflowPunct/>
      <w:autoSpaceDE/>
      <w:spacing w:after="120"/>
    </w:pPr>
    <w:rPr>
      <w:rFonts w:ascii="Times New Roman" w:eastAsia="Arial Unicode MS" w:hAnsi="Times New Roman"/>
      <w:szCs w:val="24"/>
    </w:rPr>
  </w:style>
  <w:style w:type="paragraph" w:customStyle="1" w:styleId="Styl1">
    <w:name w:val="Styl1"/>
    <w:basedOn w:val="Tekstpodstawowy"/>
    <w:rsid w:val="00853E0F"/>
    <w:pPr>
      <w:widowControl/>
      <w:jc w:val="center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15097"/>
    <w:pPr>
      <w:suppressAutoHyphens w:val="0"/>
      <w:overflowPunct/>
      <w:autoSpaceDE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647FFA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47FFA"/>
  </w:style>
  <w:style w:type="paragraph" w:styleId="NormalnyWeb">
    <w:name w:val="Normal (Web)"/>
    <w:basedOn w:val="Normalny"/>
    <w:uiPriority w:val="99"/>
    <w:unhideWhenUsed/>
    <w:rsid w:val="00647FFA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uiPriority w:val="99"/>
    <w:unhideWhenUsed/>
    <w:rsid w:val="00647FFA"/>
    <w:rPr>
      <w:color w:val="0000FF"/>
      <w:u w:val="single"/>
    </w:rPr>
  </w:style>
  <w:style w:type="paragraph" w:styleId="Poprawka">
    <w:name w:val="Revision"/>
    <w:hidden/>
    <w:uiPriority w:val="99"/>
    <w:semiHidden/>
    <w:rsid w:val="00E85E1C"/>
    <w:rPr>
      <w:rFonts w:ascii="Arial" w:hAnsi="Arial"/>
      <w:sz w:val="24"/>
      <w:lang w:eastAsia="ar-SA"/>
    </w:rPr>
  </w:style>
  <w:style w:type="character" w:styleId="Odwoaniedokomentarza">
    <w:name w:val="annotation reference"/>
    <w:rsid w:val="00A42F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2F86"/>
    <w:rPr>
      <w:sz w:val="20"/>
    </w:rPr>
  </w:style>
  <w:style w:type="character" w:customStyle="1" w:styleId="TekstkomentarzaZnak">
    <w:name w:val="Tekst komentarza Znak"/>
    <w:link w:val="Tekstkomentarza"/>
    <w:rsid w:val="00A42F86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A42F86"/>
    <w:rPr>
      <w:b/>
      <w:bCs/>
    </w:rPr>
  </w:style>
  <w:style w:type="character" w:customStyle="1" w:styleId="TematkomentarzaZnak">
    <w:name w:val="Temat komentarza Znak"/>
    <w:link w:val="Tematkomentarza"/>
    <w:rsid w:val="00A42F86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82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169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097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555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418A75A55D9E478C2903514C521AAC" ma:contentTypeVersion="18" ma:contentTypeDescription="Utwórz nowy dokument." ma:contentTypeScope="" ma:versionID="c62adba0fc95929f716309780ab4fc67">
  <xsd:schema xmlns:xsd="http://www.w3.org/2001/XMLSchema" xmlns:xs="http://www.w3.org/2001/XMLSchema" xmlns:p="http://schemas.microsoft.com/office/2006/metadata/properties" xmlns:ns2="74fa4c49-4b2a-4d40-aa74-d1aa57165171" xmlns:ns3="9f157585-f10d-475e-91d6-0bceafc2ba6a" targetNamespace="http://schemas.microsoft.com/office/2006/metadata/properties" ma:root="true" ma:fieldsID="0755cb0e39995aa71dd686c0d1e7fc3a" ns2:_="" ns3:_="">
    <xsd:import namespace="74fa4c49-4b2a-4d40-aa74-d1aa57165171"/>
    <xsd:import namespace="9f157585-f10d-475e-91d6-0bceafc2b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a4c49-4b2a-4d40-aa74-d1aa57165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90565b-c8d6-4820-963a-ada991518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7585-f10d-475e-91d6-0bceafc2b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ce8304-5072-46ac-967c-ed6dfe6c1939}" ma:internalName="TaxCatchAll" ma:showField="CatchAllData" ma:web="9f157585-f10d-475e-91d6-0bceafc2b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7D539-0463-44B5-8701-BF3B71DF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D931F-A748-496A-AD93-3FF390AE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a4c49-4b2a-4d40-aa74-d1aa57165171"/>
    <ds:schemaRef ds:uri="9f157585-f10d-475e-91d6-0bceafc2b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SIT Spoż. Krajowa Rada Przetwórstwa Spirytusu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Henryk Tomasik</dc:creator>
  <cp:keywords/>
  <cp:lastModifiedBy>Agnieszka Oryszczyn</cp:lastModifiedBy>
  <cp:revision>4</cp:revision>
  <cp:lastPrinted>2023-11-27T11:45:00Z</cp:lastPrinted>
  <dcterms:created xsi:type="dcterms:W3CDTF">2025-12-08T21:52:00Z</dcterms:created>
  <dcterms:modified xsi:type="dcterms:W3CDTF">2025-12-09T10:48:00Z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